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Република Србија</w:t>
      </w:r>
    </w:p>
    <w:p w:rsidR="006930DF" w:rsidRPr="006930DF" w:rsidRDefault="006930DF" w:rsidP="008730A0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Општина Горњи Милановац</w:t>
      </w: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85AFC" w:rsidRPr="00256A59" w:rsidRDefault="00FF2232" w:rsidP="008730A0">
      <w:pPr>
        <w:spacing w:line="360" w:lineRule="auto"/>
        <w:jc w:val="center"/>
        <w:rPr>
          <w:b/>
          <w:sz w:val="56"/>
          <w:szCs w:val="56"/>
          <w:lang w:val="sr-Cyrl-CS"/>
        </w:rPr>
      </w:pPr>
      <w:r w:rsidRPr="00256A59">
        <w:rPr>
          <w:b/>
          <w:sz w:val="56"/>
          <w:szCs w:val="56"/>
          <w:lang w:val="sr-Cyrl-CS"/>
        </w:rPr>
        <w:t xml:space="preserve">УПУТСТВО </w:t>
      </w:r>
    </w:p>
    <w:p w:rsidR="00FF2232" w:rsidRPr="00A64900" w:rsidRDefault="00FF2232" w:rsidP="008730A0">
      <w:pPr>
        <w:jc w:val="center"/>
        <w:rPr>
          <w:b/>
          <w:sz w:val="40"/>
          <w:szCs w:val="40"/>
          <w:lang w:val="sr-Cyrl-CS"/>
        </w:rPr>
      </w:pPr>
      <w:r w:rsidRPr="00A64900">
        <w:rPr>
          <w:b/>
          <w:sz w:val="40"/>
          <w:szCs w:val="40"/>
          <w:lang w:val="sr-Cyrl-CS"/>
        </w:rPr>
        <w:t>ЗА ПРИПРЕМУ БУЏЕТА ОПШТИНЕ ГОРЊИ МИЛАНОВАЦ ЗА 20</w:t>
      </w:r>
      <w:r w:rsidR="00CB0548">
        <w:rPr>
          <w:b/>
          <w:sz w:val="40"/>
          <w:szCs w:val="40"/>
        </w:rPr>
        <w:t>18</w:t>
      </w:r>
      <w:r w:rsidRPr="00A64900">
        <w:rPr>
          <w:b/>
          <w:sz w:val="40"/>
          <w:szCs w:val="40"/>
          <w:lang w:val="sr-Cyrl-CS"/>
        </w:rPr>
        <w:t>. ГОДИНУ</w:t>
      </w:r>
    </w:p>
    <w:p w:rsidR="006930DF" w:rsidRPr="006930DF" w:rsidRDefault="006930DF" w:rsidP="008730A0">
      <w:pPr>
        <w:jc w:val="center"/>
        <w:rPr>
          <w:b/>
          <w:sz w:val="40"/>
          <w:szCs w:val="40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E52150" w:rsidP="008730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31</w:t>
      </w:r>
      <w:r w:rsidR="008205FA">
        <w:rPr>
          <w:b/>
          <w:sz w:val="28"/>
          <w:szCs w:val="28"/>
          <w:lang w:val="sr-Cyrl-CS"/>
        </w:rPr>
        <w:t>. јул 201</w:t>
      </w:r>
      <w:r w:rsidR="00CB0548">
        <w:rPr>
          <w:b/>
          <w:sz w:val="28"/>
          <w:szCs w:val="28"/>
        </w:rPr>
        <w:t>7</w:t>
      </w:r>
      <w:r w:rsidR="006930DF">
        <w:rPr>
          <w:b/>
          <w:sz w:val="28"/>
          <w:szCs w:val="28"/>
          <w:lang w:val="sr-Cyrl-CS"/>
        </w:rPr>
        <w:t>. године</w:t>
      </w:r>
    </w:p>
    <w:p w:rsidR="006930DF" w:rsidRPr="004504E1" w:rsidRDefault="006930DF" w:rsidP="008730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Горњи Милановац</w:t>
      </w:r>
    </w:p>
    <w:p w:rsidR="00FF2232" w:rsidRPr="005D5D14" w:rsidRDefault="00FF2232" w:rsidP="008730A0">
      <w:pPr>
        <w:jc w:val="both"/>
        <w:rPr>
          <w:b/>
        </w:rPr>
      </w:pPr>
    </w:p>
    <w:p w:rsidR="00944D27" w:rsidRPr="002F3F26" w:rsidRDefault="0026688E" w:rsidP="008730A0">
      <w:pPr>
        <w:jc w:val="center"/>
        <w:rPr>
          <w:b/>
          <w:lang w:val="sr-Cyrl-CS"/>
        </w:rPr>
      </w:pPr>
      <w:r w:rsidRPr="002F3F26">
        <w:rPr>
          <w:b/>
          <w:lang w:val="sr-Cyrl-CS"/>
        </w:rPr>
        <w:lastRenderedPageBreak/>
        <w:t>Законски основ</w:t>
      </w: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7B0AC7" w:rsidRDefault="00FF2232" w:rsidP="008730A0">
      <w:pPr>
        <w:ind w:firstLine="720"/>
        <w:jc w:val="both"/>
        <w:rPr>
          <w:lang w:val="ru-RU"/>
        </w:rPr>
      </w:pPr>
      <w:r w:rsidRPr="002F3F26">
        <w:rPr>
          <w:lang w:val="sr-Cyrl-CS"/>
        </w:rPr>
        <w:t xml:space="preserve">Поступак припреме и доношења буџета локалне власти уређен је </w:t>
      </w:r>
      <w:r w:rsidR="00372EBC" w:rsidRPr="002F3F26">
        <w:rPr>
          <w:lang w:val="ru-RU"/>
        </w:rPr>
        <w:t>Закон</w:t>
      </w:r>
      <w:r w:rsidR="00372EBC" w:rsidRPr="002F3F26">
        <w:t>o</w:t>
      </w:r>
      <w:r w:rsidR="00372EBC" w:rsidRPr="002F3F26">
        <w:rPr>
          <w:lang w:val="sr-Cyrl-CS"/>
        </w:rPr>
        <w:t>м</w:t>
      </w:r>
      <w:r w:rsidR="00372EBC" w:rsidRPr="002F3F26">
        <w:rPr>
          <w:lang w:val="ru-RU"/>
        </w:rPr>
        <w:t xml:space="preserve"> о буџетском систему </w:t>
      </w:r>
      <w:r w:rsidR="0080659D" w:rsidRPr="002F3F26">
        <w:t>систему ("Сл.гл</w:t>
      </w:r>
      <w:r w:rsidR="0080659D" w:rsidRPr="002F3F26">
        <w:rPr>
          <w:lang w:val="sr-Cyrl-CS"/>
        </w:rPr>
        <w:t xml:space="preserve">асник </w:t>
      </w:r>
      <w:r w:rsidR="0080659D" w:rsidRPr="002F3F26">
        <w:t>РС",</w:t>
      </w:r>
      <w:r w:rsidR="0080659D" w:rsidRPr="002F3F26">
        <w:rPr>
          <w:lang w:val="sr-Cyrl-CS"/>
        </w:rPr>
        <w:t xml:space="preserve"> </w:t>
      </w:r>
      <w:r w:rsidR="0080659D" w:rsidRPr="002F3F26">
        <w:t>бр</w:t>
      </w:r>
      <w:r w:rsidR="0080659D" w:rsidRPr="002F3F26">
        <w:rPr>
          <w:lang w:val="sr-Cyrl-CS"/>
        </w:rPr>
        <w:t xml:space="preserve">ој </w:t>
      </w:r>
      <w:r w:rsidR="0080659D" w:rsidRPr="002F3F26">
        <w:t>54/</w:t>
      </w:r>
      <w:r w:rsidR="0080659D" w:rsidRPr="002F3F26">
        <w:rPr>
          <w:lang w:val="sr-Cyrl-CS"/>
        </w:rPr>
        <w:t>20</w:t>
      </w:r>
      <w:r w:rsidR="0080659D" w:rsidRPr="002F3F26">
        <w:t>09</w:t>
      </w:r>
      <w:r w:rsidR="0080659D" w:rsidRPr="002F3F26">
        <w:rPr>
          <w:lang w:val="sr-Cyrl-CS"/>
        </w:rPr>
        <w:t>,</w:t>
      </w:r>
      <w:r w:rsidR="0080659D" w:rsidRPr="002F3F26">
        <w:t xml:space="preserve"> 73/2010</w:t>
      </w:r>
      <w:r w:rsidR="0080659D" w:rsidRPr="002F3F26">
        <w:rPr>
          <w:lang w:val="sr-Cyrl-CS"/>
        </w:rPr>
        <w:t xml:space="preserve">, 101/2010, 101/2011, 93/2012, 62/2013, 63/2013–испр., 108/2013, </w:t>
      </w:r>
      <w:r w:rsidR="00A1279F">
        <w:t xml:space="preserve">142/2014, 68/2015, </w:t>
      </w:r>
      <w:r w:rsidR="0080659D" w:rsidRPr="002F3F26">
        <w:t>103/2015</w:t>
      </w:r>
      <w:r w:rsidR="00A1279F">
        <w:t xml:space="preserve"> и 99/2016</w:t>
      </w:r>
      <w:r w:rsidR="0080659D" w:rsidRPr="002F3F26">
        <w:t>)</w:t>
      </w:r>
      <w:r w:rsidR="00372EBC" w:rsidRPr="002F3F26">
        <w:rPr>
          <w:lang w:val="ru-RU"/>
        </w:rPr>
        <w:t>.</w:t>
      </w:r>
    </w:p>
    <w:p w:rsidR="007B0AC7" w:rsidRDefault="007B0AC7" w:rsidP="008730A0">
      <w:pPr>
        <w:ind w:firstLine="720"/>
        <w:jc w:val="both"/>
        <w:rPr>
          <w:lang w:val="ru-RU"/>
        </w:rPr>
      </w:pPr>
    </w:p>
    <w:p w:rsidR="007B0AC7" w:rsidRPr="007B0AC7" w:rsidRDefault="00372EBC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 На</w:t>
      </w:r>
      <w:r w:rsidR="00F3722F" w:rsidRPr="002F3F26">
        <w:rPr>
          <w:lang w:val="sr-Cyrl-CS"/>
        </w:rPr>
        <w:t xml:space="preserve"> </w:t>
      </w:r>
      <w:r w:rsidRPr="002F3F26">
        <w:rPr>
          <w:lang w:val="sr-Cyrl-CS"/>
        </w:rPr>
        <w:t>о</w:t>
      </w:r>
      <w:r w:rsidR="00F3722F" w:rsidRPr="002F3F26">
        <w:rPr>
          <w:lang w:val="sr-Cyrl-CS"/>
        </w:rPr>
        <w:t xml:space="preserve">снову члана 31. Закона, по буџетском календару, министар финансија доставља </w:t>
      </w:r>
      <w:r w:rsidR="00D13D2A" w:rsidRPr="002F3F26">
        <w:rPr>
          <w:lang w:val="sr-Cyrl-CS"/>
        </w:rPr>
        <w:t xml:space="preserve">Упутство за припрему </w:t>
      </w:r>
      <w:r w:rsidR="00D13D2A" w:rsidRPr="002F3F26">
        <w:rPr>
          <w:lang w:val="en-GB"/>
        </w:rPr>
        <w:t>O</w:t>
      </w:r>
      <w:r w:rsidR="00D13D2A" w:rsidRPr="002F3F26">
        <w:rPr>
          <w:lang w:val="sr-Cyrl-CS"/>
        </w:rPr>
        <w:t>длуке о буџету локалне власти као и Фискалну стратегију</w:t>
      </w:r>
      <w:r w:rsidR="00F3722F" w:rsidRPr="002F3F26">
        <w:rPr>
          <w:lang w:val="sr-Cyrl-CS"/>
        </w:rPr>
        <w:t xml:space="preserve"> до 5.</w:t>
      </w:r>
      <w:r w:rsidR="008C6CF6" w:rsidRPr="002F3F26">
        <w:rPr>
          <w:lang w:val="en-GB"/>
        </w:rPr>
        <w:t xml:space="preserve"> </w:t>
      </w:r>
      <w:r w:rsidR="007B0AC7">
        <w:rPr>
          <w:lang w:val="sr-Cyrl-CS"/>
        </w:rPr>
        <w:t>ј</w:t>
      </w:r>
      <w:r w:rsidR="00F3722F" w:rsidRPr="002F3F26">
        <w:rPr>
          <w:lang w:val="sr-Cyrl-CS"/>
        </w:rPr>
        <w:t>ула</w:t>
      </w:r>
      <w:r w:rsidR="007B0AC7">
        <w:rPr>
          <w:lang w:val="sr-Cyrl-CS"/>
        </w:rPr>
        <w:t xml:space="preserve"> текуће године</w:t>
      </w:r>
      <w:r w:rsidR="00F3722F" w:rsidRPr="002F3F26">
        <w:rPr>
          <w:lang w:val="sr-Cyrl-CS"/>
        </w:rPr>
        <w:t xml:space="preserve">. </w:t>
      </w:r>
      <w:r w:rsidR="007B0AC7">
        <w:rPr>
          <w:lang w:val="sr-Cyrl-CS"/>
        </w:rPr>
        <w:t xml:space="preserve"> </w:t>
      </w:r>
      <w:r w:rsidR="007B0AC7">
        <w:t>Упутство</w:t>
      </w:r>
      <w:r w:rsidR="007B0AC7" w:rsidRPr="007B0AC7">
        <w:t xml:space="preserve"> </w:t>
      </w:r>
      <w:r w:rsidR="007B0AC7">
        <w:t>садржи</w:t>
      </w:r>
      <w:r w:rsidR="007B0AC7" w:rsidRPr="007B0AC7">
        <w:t xml:space="preserve">: </w:t>
      </w:r>
    </w:p>
    <w:p w:rsid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претпоставке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методологију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методологију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>;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укључивање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>.</w:t>
      </w:r>
    </w:p>
    <w:p w:rsidR="00A85AFC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супротна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смерницама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локалној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планирање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субвенција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одлуци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министар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обуставити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трансферних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припадајућег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усклади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упутством</w:t>
      </w:r>
      <w:r w:rsidRPr="007B0AC7">
        <w:rPr>
          <w:rFonts w:ascii="Times New Roman" w:hAnsi="Times New Roman" w:cs="Times New Roman"/>
          <w:sz w:val="24"/>
          <w:szCs w:val="24"/>
        </w:rPr>
        <w:t>.</w:t>
      </w:r>
    </w:p>
    <w:p w:rsidR="00FF2232" w:rsidRPr="002F3F26" w:rsidRDefault="00600F05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  <w:r w:rsidR="00FF2232" w:rsidRPr="002F3F26">
        <w:rPr>
          <w:lang w:val="sr-Cyrl-CS"/>
        </w:rPr>
        <w:t xml:space="preserve">Чланом  40. Закона о буџетском систему предвиђено </w:t>
      </w:r>
      <w:r w:rsidR="00712F9A" w:rsidRPr="002F3F26">
        <w:rPr>
          <w:lang w:val="sr-Cyrl-CS"/>
        </w:rPr>
        <w:t>је да по добијању Фискалне стратегије</w:t>
      </w:r>
      <w:r w:rsidR="00FF2232" w:rsidRPr="002F3F26">
        <w:rPr>
          <w:lang w:val="sr-Cyrl-CS"/>
        </w:rPr>
        <w:t xml:space="preserve">, локални орган управе надлежан за финансије доставља директним и индиректним корисницима буџета </w:t>
      </w:r>
      <w:r w:rsidR="00FF2232" w:rsidRPr="007B5956">
        <w:rPr>
          <w:b/>
          <w:lang w:val="sr-Cyrl-CS"/>
        </w:rPr>
        <w:t>Упутство за припрему буџета</w:t>
      </w:r>
      <w:r w:rsidR="00FF2232" w:rsidRPr="002F3F26">
        <w:rPr>
          <w:lang w:val="sr-Cyrl-CS"/>
        </w:rPr>
        <w:t>, које треба да садржи:</w:t>
      </w:r>
    </w:p>
    <w:p w:rsidR="00944D27" w:rsidRPr="002F3F26" w:rsidRDefault="00944D27" w:rsidP="008730A0">
      <w:pPr>
        <w:jc w:val="both"/>
        <w:rPr>
          <w:lang w:val="sr-Cyrl-CS"/>
        </w:rPr>
      </w:pPr>
    </w:p>
    <w:p w:rsidR="00FF2232" w:rsidRPr="002F3F26" w:rsidRDefault="00FF2232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основне економске претпоставке и смернице за припрему нацрта буџета локалне власти;</w:t>
      </w:r>
    </w:p>
    <w:p w:rsidR="007B7794" w:rsidRPr="002F3F26" w:rsidRDefault="007B7794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опис пл</w:t>
      </w:r>
      <w:r w:rsidR="00712F9A" w:rsidRPr="002F3F26">
        <w:rPr>
          <w:lang w:val="sr-Cyrl-CS"/>
        </w:rPr>
        <w:t>аниране политике локалне власти;</w:t>
      </w:r>
    </w:p>
    <w:p w:rsidR="00FF2232" w:rsidRPr="002F3F26" w:rsidRDefault="00FF2232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процену прихода и примања и расхода и издатака буџета локалне власти за буџетску и наредне две фискалне године;</w:t>
      </w:r>
    </w:p>
    <w:p w:rsidR="00A97CE5" w:rsidRPr="002F3F26" w:rsidRDefault="00A97CE5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обим</w:t>
      </w:r>
      <w:r w:rsidR="00FF2232" w:rsidRPr="002F3F26">
        <w:rPr>
          <w:lang w:val="sr-Cyrl-CS"/>
        </w:rPr>
        <w:t xml:space="preserve"> средстава </w:t>
      </w:r>
      <w:r w:rsidRPr="002F3F26">
        <w:rPr>
          <w:lang w:val="sr-Cyrl-CS"/>
        </w:rPr>
        <w:t>које  може да садржи предлог финансијских</w:t>
      </w:r>
      <w:r w:rsidR="00FF2232" w:rsidRPr="002F3F26">
        <w:rPr>
          <w:lang w:val="sr-Cyrl-CS"/>
        </w:rPr>
        <w:t xml:space="preserve"> плановима директних и </w:t>
      </w:r>
      <w:r w:rsidRPr="002F3F26">
        <w:rPr>
          <w:lang w:val="sr-Cyrl-CS"/>
        </w:rPr>
        <w:t>индиректних буџетских корисника за буџетску годину, са пројекцијама за наредне две фискалне године;</w:t>
      </w:r>
    </w:p>
    <w:p w:rsidR="007B7794" w:rsidRPr="002F3F26" w:rsidRDefault="007B7794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смернице за припрему средњорочних планова директних корисника с</w:t>
      </w:r>
      <w:r w:rsidR="00712F9A" w:rsidRPr="002F3F26">
        <w:rPr>
          <w:lang w:val="sr-Cyrl-CS"/>
        </w:rPr>
        <w:t>редстава буџета локалних власти;</w:t>
      </w:r>
    </w:p>
    <w:p w:rsidR="00FF2232" w:rsidRDefault="00A97CE5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поступак и динамику припреме</w:t>
      </w:r>
      <w:r w:rsidR="00FF2232" w:rsidRPr="002F3F26">
        <w:rPr>
          <w:lang w:val="sr-Cyrl-CS"/>
        </w:rPr>
        <w:t xml:space="preserve"> буџета и предлога финансијских планова директних буџетских корисника</w:t>
      </w:r>
      <w:r w:rsidR="00446F4F">
        <w:rPr>
          <w:lang w:val="sr-Cyrl-CS"/>
        </w:rPr>
        <w:t>;</w:t>
      </w:r>
    </w:p>
    <w:p w:rsidR="00446F4F" w:rsidRPr="00446F4F" w:rsidRDefault="00446F4F" w:rsidP="008730A0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образложењу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исказати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446F4F">
        <w:rPr>
          <w:rFonts w:ascii="Times New Roman" w:hAnsi="Times New Roman" w:cs="Times New Roman"/>
          <w:sz w:val="24"/>
          <w:szCs w:val="24"/>
        </w:rPr>
        <w:t>;</w:t>
      </w:r>
    </w:p>
    <w:p w:rsidR="00446F4F" w:rsidRPr="00446F4F" w:rsidRDefault="00446F4F" w:rsidP="008730A0">
      <w:pPr>
        <w:numPr>
          <w:ilvl w:val="0"/>
          <w:numId w:val="1"/>
        </w:numPr>
        <w:jc w:val="both"/>
        <w:rPr>
          <w:lang w:val="sr-Cyrl-CS"/>
        </w:rPr>
      </w:pPr>
      <w:r>
        <w:t>начин</w:t>
      </w:r>
      <w:r w:rsidRPr="00446F4F">
        <w:t xml:space="preserve"> </w:t>
      </w:r>
      <w:r>
        <w:t>на</w:t>
      </w:r>
      <w:r w:rsidRPr="00446F4F">
        <w:t xml:space="preserve"> </w:t>
      </w:r>
      <w:r>
        <w:t>који</w:t>
      </w:r>
      <w:r w:rsidRPr="00446F4F">
        <w:t xml:space="preserve"> </w:t>
      </w:r>
      <w:r>
        <w:t>ће</w:t>
      </w:r>
      <w:r w:rsidRPr="00446F4F">
        <w:t xml:space="preserve"> </w:t>
      </w:r>
      <w:r>
        <w:t>се</w:t>
      </w:r>
      <w:r w:rsidRPr="00446F4F">
        <w:t xml:space="preserve"> </w:t>
      </w:r>
      <w:r>
        <w:t>исказати</w:t>
      </w:r>
      <w:r w:rsidRPr="00446F4F">
        <w:t xml:space="preserve"> </w:t>
      </w:r>
      <w:r>
        <w:t>програмске</w:t>
      </w:r>
      <w:r w:rsidRPr="00446F4F">
        <w:t xml:space="preserve"> </w:t>
      </w:r>
      <w:r>
        <w:t>информације</w:t>
      </w:r>
      <w:r w:rsidRPr="00446F4F">
        <w:t>.</w:t>
      </w:r>
    </w:p>
    <w:p w:rsidR="00446F4F" w:rsidRPr="002F3F26" w:rsidRDefault="00446F4F" w:rsidP="008730A0">
      <w:pPr>
        <w:ind w:left="480"/>
        <w:jc w:val="both"/>
        <w:rPr>
          <w:lang w:val="sr-Cyrl-CS"/>
        </w:rPr>
      </w:pPr>
    </w:p>
    <w:p w:rsidR="00FF2232" w:rsidRPr="002F3F26" w:rsidRDefault="00FF2232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lastRenderedPageBreak/>
        <w:t>Чланом 41.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власти.</w:t>
      </w:r>
    </w:p>
    <w:p w:rsidR="00944D27" w:rsidRPr="002F3F26" w:rsidRDefault="00944D27" w:rsidP="008730A0">
      <w:pPr>
        <w:ind w:firstLine="720"/>
        <w:jc w:val="both"/>
        <w:rPr>
          <w:lang w:val="sr-Cyrl-CS"/>
        </w:rPr>
      </w:pP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Директни корисници обавезни су да, у складу са смерницама и роковима, траже од индиректних корисника за које су одговорни, да доставе податке неопходне за израду предлога финансијског плана директног буџетског корисника.</w:t>
      </w:r>
      <w:r w:rsidR="005D5D14" w:rsidRPr="002F3F26">
        <w:t xml:space="preserve"> </w:t>
      </w:r>
      <w:r w:rsidRPr="002F3F26">
        <w:rPr>
          <w:lang w:val="sr-Cyrl-CS"/>
        </w:rPr>
        <w:t xml:space="preserve">Истим чланом је предвиђено и да локални орган управе надлежан за финансије може да тражи непосредно од индиректних буџетских </w:t>
      </w:r>
      <w:r w:rsidR="00676D33" w:rsidRPr="002F3F26">
        <w:rPr>
          <w:lang w:val="sr-Cyrl-CS"/>
        </w:rPr>
        <w:t>корисника податке о финансирању који су неопходни за припрему предлога буџета локалне власти.</w:t>
      </w:r>
    </w:p>
    <w:p w:rsidR="00204998" w:rsidRPr="002F3F26" w:rsidRDefault="00204998" w:rsidP="008730A0">
      <w:pPr>
        <w:jc w:val="both"/>
        <w:rPr>
          <w:lang w:val="en-GB"/>
        </w:rPr>
      </w:pPr>
    </w:p>
    <w:p w:rsidR="009F2775" w:rsidRPr="002F3F26" w:rsidRDefault="009F2775" w:rsidP="008730A0">
      <w:pPr>
        <w:ind w:firstLine="720"/>
        <w:jc w:val="both"/>
        <w:rPr>
          <w:lang w:val="en-GB"/>
        </w:rPr>
      </w:pPr>
      <w:r w:rsidRPr="002F3F26">
        <w:rPr>
          <w:lang w:val="sr-Cyrl-CS"/>
        </w:rPr>
        <w:t>У складу с</w:t>
      </w:r>
      <w:r w:rsidR="004C5807" w:rsidRPr="002F3F26">
        <w:rPr>
          <w:lang w:val="sr-Cyrl-CS"/>
        </w:rPr>
        <w:t>а чланом 27</w:t>
      </w:r>
      <w:r w:rsidRPr="002F3F26">
        <w:rPr>
          <w:lang w:val="sr-Cyrl-CS"/>
        </w:rPr>
        <w:t>в</w:t>
      </w:r>
      <w:r w:rsidR="004C5807" w:rsidRPr="002F3F26">
        <w:rPr>
          <w:lang w:val="sr-Cyrl-CS"/>
        </w:rPr>
        <w:t>.</w:t>
      </w:r>
      <w:r w:rsidR="00712F9A" w:rsidRPr="002F3F26">
        <w:rPr>
          <w:lang w:val="sr-Cyrl-CS"/>
        </w:rPr>
        <w:t xml:space="preserve"> </w:t>
      </w:r>
      <w:r w:rsidR="007649E3" w:rsidRPr="002F3F26">
        <w:rPr>
          <w:lang w:val="sr-Cyrl-CS"/>
        </w:rPr>
        <w:t xml:space="preserve">Закона о буџетском систему </w:t>
      </w:r>
      <w:r w:rsidR="006077B6" w:rsidRPr="002F3F26">
        <w:rPr>
          <w:lang w:val="sr-Cyrl-CS"/>
        </w:rPr>
        <w:t>В</w:t>
      </w:r>
      <w:r w:rsidRPr="002F3F26">
        <w:rPr>
          <w:lang w:val="sr-Cyrl-CS"/>
        </w:rPr>
        <w:t xml:space="preserve">лада сваке фискалне године подноси Народној </w:t>
      </w:r>
      <w:r w:rsidR="00712F9A" w:rsidRPr="002F3F26">
        <w:rPr>
          <w:lang w:val="sr-Cyrl-CS"/>
        </w:rPr>
        <w:t>скупштини Ф</w:t>
      </w:r>
      <w:r w:rsidRPr="002F3F26">
        <w:rPr>
          <w:lang w:val="sr-Cyrl-CS"/>
        </w:rPr>
        <w:t>ис</w:t>
      </w:r>
      <w:r w:rsidR="00897B74" w:rsidRPr="002F3F26">
        <w:rPr>
          <w:lang w:val="sr-Cyrl-CS"/>
        </w:rPr>
        <w:t>к</w:t>
      </w:r>
      <w:r w:rsidR="00712F9A" w:rsidRPr="002F3F26">
        <w:rPr>
          <w:lang w:val="sr-Cyrl-CS"/>
        </w:rPr>
        <w:t>алну стратегију</w:t>
      </w:r>
      <w:r w:rsidRPr="002F3F26">
        <w:rPr>
          <w:lang w:val="sr-Cyrl-CS"/>
        </w:rPr>
        <w:t xml:space="preserve">. Главни циљеви </w:t>
      </w:r>
      <w:r w:rsidR="00712F9A" w:rsidRPr="002F3F26">
        <w:rPr>
          <w:lang w:val="sr-Cyrl-CS"/>
        </w:rPr>
        <w:t>Фискалне стратегије</w:t>
      </w:r>
      <w:r w:rsidRPr="002F3F26">
        <w:rPr>
          <w:lang w:val="sr-Cyrl-CS"/>
        </w:rPr>
        <w:t xml:space="preserve"> су:</w:t>
      </w:r>
    </w:p>
    <w:p w:rsidR="00944D27" w:rsidRPr="002F3F26" w:rsidRDefault="00944D27" w:rsidP="008730A0">
      <w:pPr>
        <w:tabs>
          <w:tab w:val="left" w:pos="1260"/>
        </w:tabs>
        <w:jc w:val="both"/>
        <w:rPr>
          <w:lang w:val="sr-Cyrl-CS"/>
        </w:rPr>
      </w:pPr>
    </w:p>
    <w:p w:rsidR="00944D27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утврђивање краткорочних и средњорочних циљева фискалне политике Владе за период од три узастопне фискалне године, почев од фискал</w:t>
      </w:r>
      <w:r w:rsidR="00712F9A" w:rsidRPr="002F3F26">
        <w:rPr>
          <w:lang w:val="sr-Cyrl-CS"/>
        </w:rPr>
        <w:t>не године за коју се Фискална стратегија</w:t>
      </w:r>
      <w:r w:rsidRPr="002F3F26">
        <w:rPr>
          <w:lang w:val="sr-Cyrl-CS"/>
        </w:rPr>
        <w:t xml:space="preserve"> подноси;</w:t>
      </w:r>
    </w:p>
    <w:p w:rsidR="00944D27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пружање детаљног објашњења о усклађености наведених средњорочних циљева са фискалним принципима и правилима утврђеним овим законом;</w:t>
      </w:r>
    </w:p>
    <w:p w:rsidR="009F2775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процена утицаја фискалне политике на међугенерацијску расподелу дохотка, као и процена одрживости фискалне политике.</w:t>
      </w:r>
    </w:p>
    <w:p w:rsidR="007376AE" w:rsidRPr="002F3F26" w:rsidRDefault="007376AE" w:rsidP="008730A0">
      <w:pPr>
        <w:jc w:val="both"/>
        <w:rPr>
          <w:lang w:val="en-GB"/>
        </w:rPr>
      </w:pPr>
    </w:p>
    <w:p w:rsidR="00AF7A01" w:rsidRPr="00AF7A01" w:rsidRDefault="00074135" w:rsidP="008730A0">
      <w:pPr>
        <w:ind w:firstLine="720"/>
        <w:jc w:val="both"/>
        <w:rPr>
          <w:color w:val="000000" w:themeColor="text1"/>
        </w:rPr>
      </w:pPr>
      <w:r>
        <w:rPr>
          <w:lang w:val="sr-Cyrl-CS"/>
        </w:rPr>
        <w:t>Буџетским календаром, који је утврђен чланом</w:t>
      </w:r>
      <w:r w:rsidR="00897B74" w:rsidRPr="002F3F26">
        <w:rPr>
          <w:lang w:val="sr-Cyrl-CS"/>
        </w:rPr>
        <w:t xml:space="preserve"> 31</w:t>
      </w:r>
      <w:r w:rsidR="00E05419" w:rsidRPr="002F3F26">
        <w:rPr>
          <w:lang w:val="en-GB"/>
        </w:rPr>
        <w:t>.</w:t>
      </w:r>
      <w:r w:rsidR="00897B74" w:rsidRPr="002F3F26">
        <w:rPr>
          <w:lang w:val="sr-Cyrl-CS"/>
        </w:rPr>
        <w:t xml:space="preserve"> Закона о буџетском сис</w:t>
      </w:r>
      <w:r w:rsidR="00F210AE" w:rsidRPr="002F3F26">
        <w:rPr>
          <w:lang w:val="sr-Cyrl-CS"/>
        </w:rPr>
        <w:t>тему,</w:t>
      </w:r>
      <w:r>
        <w:rPr>
          <w:lang w:val="sr-Cyrl-CS"/>
        </w:rPr>
        <w:t xml:space="preserve"> предвиђено је да</w:t>
      </w:r>
      <w:r w:rsidR="00F210AE" w:rsidRPr="002F3F26">
        <w:rPr>
          <w:lang w:val="sr-Cyrl-CS"/>
        </w:rPr>
        <w:t xml:space="preserve"> </w:t>
      </w:r>
      <w:r w:rsidRPr="00074135">
        <w:rPr>
          <w:sz w:val="25"/>
          <w:szCs w:val="25"/>
        </w:rPr>
        <w:t>Влада</w:t>
      </w:r>
      <w:r>
        <w:rPr>
          <w:sz w:val="25"/>
          <w:szCs w:val="25"/>
        </w:rPr>
        <w:t xml:space="preserve"> Републике Србије </w:t>
      </w:r>
      <w:r>
        <w:rPr>
          <w:lang w:val="sr-Cyrl-CS"/>
        </w:rPr>
        <w:t xml:space="preserve">до </w:t>
      </w:r>
      <w:r>
        <w:rPr>
          <w:sz w:val="25"/>
          <w:szCs w:val="25"/>
        </w:rPr>
        <w:t xml:space="preserve">15. </w:t>
      </w:r>
      <w:r w:rsidR="00F36CD1">
        <w:rPr>
          <w:sz w:val="25"/>
          <w:szCs w:val="25"/>
        </w:rPr>
        <w:t>j</w:t>
      </w:r>
      <w:r>
        <w:rPr>
          <w:sz w:val="25"/>
          <w:szCs w:val="25"/>
        </w:rPr>
        <w:t>уна</w:t>
      </w:r>
      <w:r w:rsidR="00F36CD1">
        <w:rPr>
          <w:sz w:val="25"/>
          <w:szCs w:val="25"/>
        </w:rPr>
        <w:t xml:space="preserve"> 2017. године</w:t>
      </w:r>
      <w:r>
        <w:rPr>
          <w:sz w:val="25"/>
          <w:szCs w:val="25"/>
        </w:rPr>
        <w:t xml:space="preserve"> усв</w:t>
      </w:r>
      <w:r w:rsidR="00463784">
        <w:rPr>
          <w:sz w:val="25"/>
          <w:szCs w:val="25"/>
        </w:rPr>
        <w:t>о</w:t>
      </w:r>
      <w:r>
        <w:rPr>
          <w:sz w:val="25"/>
          <w:szCs w:val="25"/>
        </w:rPr>
        <w:t>ји Фискалну стратегију</w:t>
      </w:r>
      <w:r w:rsidRPr="00074135">
        <w:rPr>
          <w:lang w:val="sr-Cyrl-CS"/>
        </w:rPr>
        <w:t xml:space="preserve"> </w:t>
      </w:r>
      <w:r w:rsidRPr="002F3F26">
        <w:rPr>
          <w:lang w:val="sr-Cyrl-CS"/>
        </w:rPr>
        <w:t>за 201</w:t>
      </w:r>
      <w:r>
        <w:t>8</w:t>
      </w:r>
      <w:r w:rsidRPr="002F3F26">
        <w:rPr>
          <w:lang w:val="sr-Cyrl-CS"/>
        </w:rPr>
        <w:t>. годину са пројекцијама за 201</w:t>
      </w:r>
      <w:r>
        <w:t>9</w:t>
      </w:r>
      <w:r>
        <w:rPr>
          <w:lang w:val="sr-Cyrl-CS"/>
        </w:rPr>
        <w:t>. и 2020</w:t>
      </w:r>
      <w:r w:rsidRPr="002F3F26">
        <w:rPr>
          <w:lang w:val="sr-Cyrl-CS"/>
        </w:rPr>
        <w:t xml:space="preserve">. </w:t>
      </w:r>
      <w:r>
        <w:rPr>
          <w:lang w:val="sr-Cyrl-CS"/>
        </w:rPr>
        <w:t>г</w:t>
      </w:r>
      <w:r w:rsidRPr="002F3F26">
        <w:rPr>
          <w:lang w:val="sr-Cyrl-CS"/>
        </w:rPr>
        <w:t>одину</w:t>
      </w:r>
      <w:r>
        <w:rPr>
          <w:lang w:val="sr-Cyrl-CS"/>
        </w:rPr>
        <w:t>,</w:t>
      </w:r>
      <w:r>
        <w:rPr>
          <w:sz w:val="25"/>
          <w:szCs w:val="25"/>
        </w:rPr>
        <w:t xml:space="preserve"> и достави је Народној скупштини на разматрање, као и локалној власти.</w:t>
      </w:r>
      <w:r w:rsidR="00463784">
        <w:rPr>
          <w:sz w:val="25"/>
          <w:szCs w:val="25"/>
        </w:rPr>
        <w:t xml:space="preserve"> У овом року </w:t>
      </w:r>
      <w:r w:rsidR="00DC4F8D">
        <w:rPr>
          <w:lang w:val="sr-Cyrl-CS"/>
        </w:rPr>
        <w:t xml:space="preserve"> </w:t>
      </w:r>
      <w:r w:rsidR="00463784">
        <w:rPr>
          <w:lang w:val="sr-Cyrl-CS"/>
        </w:rPr>
        <w:t>влада није усвојила</w:t>
      </w:r>
      <w:r w:rsidR="00463784" w:rsidRPr="00463784">
        <w:rPr>
          <w:sz w:val="25"/>
          <w:szCs w:val="25"/>
        </w:rPr>
        <w:t xml:space="preserve"> </w:t>
      </w:r>
      <w:r w:rsidR="00463784">
        <w:rPr>
          <w:sz w:val="25"/>
          <w:szCs w:val="25"/>
        </w:rPr>
        <w:t>Фискалну стратегију</w:t>
      </w:r>
      <w:r w:rsidR="00785244">
        <w:rPr>
          <w:sz w:val="25"/>
          <w:szCs w:val="25"/>
        </w:rPr>
        <w:t>. Такође,</w:t>
      </w:r>
      <w:r w:rsidR="00463784">
        <w:rPr>
          <w:lang w:val="sr-Cyrl-CS"/>
        </w:rPr>
        <w:t xml:space="preserve"> </w:t>
      </w:r>
      <w:r w:rsidR="00785244">
        <w:rPr>
          <w:lang w:val="sr-Cyrl-CS"/>
        </w:rPr>
        <w:t>д</w:t>
      </w:r>
      <w:r w:rsidR="00DC4F8D">
        <w:rPr>
          <w:lang w:val="sr-Cyrl-CS"/>
        </w:rPr>
        <w:t>о истека законског рока</w:t>
      </w:r>
      <w:r w:rsidR="00785244">
        <w:rPr>
          <w:lang w:val="sr-Cyrl-CS"/>
        </w:rPr>
        <w:t xml:space="preserve">, 5. </w:t>
      </w:r>
      <w:r w:rsidR="00091E72">
        <w:t>j</w:t>
      </w:r>
      <w:r w:rsidR="00785244">
        <w:rPr>
          <w:lang w:val="sr-Cyrl-CS"/>
        </w:rPr>
        <w:t>ула</w:t>
      </w:r>
      <w:r w:rsidR="00091E72">
        <w:t xml:space="preserve"> 2017. године</w:t>
      </w:r>
      <w:r w:rsidR="00785244">
        <w:rPr>
          <w:lang w:val="sr-Cyrl-CS"/>
        </w:rPr>
        <w:t>,</w:t>
      </w:r>
      <w:r w:rsidR="00DC4F8D">
        <w:rPr>
          <w:lang w:val="sr-Cyrl-CS"/>
        </w:rPr>
        <w:t xml:space="preserve"> М</w:t>
      </w:r>
      <w:r w:rsidR="003C5E65" w:rsidRPr="002F3F26">
        <w:rPr>
          <w:lang w:val="sr-Cyrl-CS"/>
        </w:rPr>
        <w:t>инистарство надле</w:t>
      </w:r>
      <w:r w:rsidR="0085423A" w:rsidRPr="002F3F26">
        <w:rPr>
          <w:lang w:val="sr-Cyrl-CS"/>
        </w:rPr>
        <w:t>жно за послове финансија није доставило локалним самоуправа</w:t>
      </w:r>
      <w:r w:rsidR="00C5330C" w:rsidRPr="002F3F26">
        <w:rPr>
          <w:lang w:val="sr-Cyrl-CS"/>
        </w:rPr>
        <w:t>ма</w:t>
      </w:r>
      <w:r w:rsidR="0085423A" w:rsidRPr="002F3F26">
        <w:rPr>
          <w:lang w:val="sr-Cyrl-CS"/>
        </w:rPr>
        <w:t xml:space="preserve"> У</w:t>
      </w:r>
      <w:r w:rsidR="008205FA" w:rsidRPr="002F3F26">
        <w:rPr>
          <w:lang w:val="sr-Cyrl-CS"/>
        </w:rPr>
        <w:t>путство за израду буџета за 201</w:t>
      </w:r>
      <w:r w:rsidR="00DC4F8D">
        <w:t>8</w:t>
      </w:r>
      <w:r w:rsidR="0085423A" w:rsidRPr="002F3F26">
        <w:rPr>
          <w:lang w:val="sr-Cyrl-CS"/>
        </w:rPr>
        <w:t>. години.</w:t>
      </w:r>
      <w:r w:rsidR="001761C6" w:rsidRPr="002F3F26">
        <w:rPr>
          <w:lang w:val="sr-Cyrl-CS"/>
        </w:rPr>
        <w:t xml:space="preserve"> </w:t>
      </w:r>
      <w:r w:rsidR="001761C6" w:rsidRPr="002F3F26">
        <w:rPr>
          <w:rFonts w:eastAsiaTheme="minorHAnsi"/>
        </w:rPr>
        <w:t>Из тог разлога процес планирања</w:t>
      </w:r>
      <w:r w:rsidR="001761C6" w:rsidRPr="002F3F26">
        <w:rPr>
          <w:rFonts w:eastAsiaTheme="minorHAnsi"/>
          <w:lang w:val="sr-Cyrl-CS"/>
        </w:rPr>
        <w:t xml:space="preserve"> </w:t>
      </w:r>
      <w:r w:rsidR="001761C6" w:rsidRPr="002F3F26">
        <w:rPr>
          <w:rFonts w:eastAsiaTheme="minorHAnsi"/>
        </w:rPr>
        <w:t xml:space="preserve">буџета Општине </w:t>
      </w:r>
      <w:r w:rsidR="001761C6" w:rsidRPr="002F3F26">
        <w:rPr>
          <w:rFonts w:eastAsiaTheme="minorHAnsi"/>
          <w:lang w:val="sr-Cyrl-CS"/>
        </w:rPr>
        <w:t>Горњи Милановац</w:t>
      </w:r>
      <w:r w:rsidR="001761C6" w:rsidRPr="002F3F26">
        <w:rPr>
          <w:rFonts w:eastAsiaTheme="minorHAnsi"/>
        </w:rPr>
        <w:t xml:space="preserve"> започиње на ос</w:t>
      </w:r>
      <w:r w:rsidR="008205FA" w:rsidRPr="002F3F26">
        <w:rPr>
          <w:rFonts w:eastAsiaTheme="minorHAnsi"/>
        </w:rPr>
        <w:t>нову Фискалне стратегије за 2017</w:t>
      </w:r>
      <w:r w:rsidR="001761C6" w:rsidRPr="002F3F26">
        <w:rPr>
          <w:rFonts w:eastAsiaTheme="minorHAnsi"/>
        </w:rPr>
        <w:t>.</w:t>
      </w:r>
      <w:r w:rsidR="00054AB0">
        <w:rPr>
          <w:rFonts w:eastAsiaTheme="minorHAnsi"/>
        </w:rPr>
        <w:t xml:space="preserve"> </w:t>
      </w:r>
      <w:r w:rsidR="001761C6" w:rsidRPr="002F3F26">
        <w:rPr>
          <w:rFonts w:eastAsiaTheme="minorHAnsi"/>
        </w:rPr>
        <w:t>годину са пројекцијама за 201</w:t>
      </w:r>
      <w:r w:rsidR="008205FA" w:rsidRPr="002F3F26">
        <w:rPr>
          <w:rFonts w:eastAsiaTheme="minorHAnsi"/>
        </w:rPr>
        <w:t>8</w:t>
      </w:r>
      <w:r w:rsidR="001761C6" w:rsidRPr="002F3F26">
        <w:rPr>
          <w:rFonts w:eastAsiaTheme="minorHAnsi"/>
        </w:rPr>
        <w:t>. и 201</w:t>
      </w:r>
      <w:r w:rsidR="008205FA" w:rsidRPr="002F3F26">
        <w:rPr>
          <w:rFonts w:eastAsiaTheme="minorHAnsi"/>
        </w:rPr>
        <w:t>9</w:t>
      </w:r>
      <w:r w:rsidR="00B649E1">
        <w:rPr>
          <w:rFonts w:eastAsiaTheme="minorHAnsi"/>
        </w:rPr>
        <w:t>. годину</w:t>
      </w:r>
      <w:r w:rsidR="00993B19">
        <w:rPr>
          <w:rFonts w:eastAsiaTheme="minorHAnsi"/>
        </w:rPr>
        <w:t>,</w:t>
      </w:r>
      <w:r w:rsidR="00B649E1">
        <w:rPr>
          <w:rFonts w:eastAsiaTheme="minorHAnsi"/>
        </w:rPr>
        <w:t xml:space="preserve"> као и</w:t>
      </w:r>
      <w:r w:rsidR="00B649E1" w:rsidRPr="00B649E1">
        <w:rPr>
          <w:b/>
          <w:color w:val="000000" w:themeColor="text1"/>
        </w:rPr>
        <w:t xml:space="preserve"> </w:t>
      </w:r>
      <w:r w:rsidR="00B649E1" w:rsidRPr="00250F94">
        <w:rPr>
          <w:b/>
          <w:color w:val="000000" w:themeColor="text1"/>
        </w:rPr>
        <w:t>Програм</w:t>
      </w:r>
      <w:r w:rsidR="00B649E1">
        <w:rPr>
          <w:b/>
          <w:color w:val="000000" w:themeColor="text1"/>
        </w:rPr>
        <w:t>а</w:t>
      </w:r>
      <w:r w:rsidR="00B649E1" w:rsidRPr="00250F94">
        <w:rPr>
          <w:b/>
          <w:color w:val="000000" w:themeColor="text1"/>
        </w:rPr>
        <w:t xml:space="preserve"> екон</w:t>
      </w:r>
      <w:r w:rsidR="00967FB1">
        <w:rPr>
          <w:b/>
          <w:color w:val="000000" w:themeColor="text1"/>
        </w:rPr>
        <w:t>омских реформи за период од 2017. до 2019</w:t>
      </w:r>
      <w:r w:rsidR="00B649E1" w:rsidRPr="00250F94">
        <w:rPr>
          <w:b/>
          <w:color w:val="000000" w:themeColor="text1"/>
        </w:rPr>
        <w:t xml:space="preserve">. </w:t>
      </w:r>
      <w:r w:rsidR="00B649E1">
        <w:rPr>
          <w:b/>
          <w:color w:val="000000" w:themeColor="text1"/>
        </w:rPr>
        <w:t>г</w:t>
      </w:r>
      <w:r w:rsidR="00B649E1" w:rsidRPr="00250F94">
        <w:rPr>
          <w:b/>
          <w:color w:val="000000" w:themeColor="text1"/>
        </w:rPr>
        <w:t>одине</w:t>
      </w:r>
      <w:r w:rsidR="00B649E1">
        <w:rPr>
          <w:b/>
          <w:color w:val="000000" w:themeColor="text1"/>
        </w:rPr>
        <w:t xml:space="preserve"> </w:t>
      </w:r>
      <w:r w:rsidR="00967FB1">
        <w:rPr>
          <w:bCs/>
        </w:rPr>
        <w:t xml:space="preserve">који је донела Влада </w:t>
      </w:r>
      <w:r w:rsidR="00967FB1" w:rsidRPr="004C52C7">
        <w:rPr>
          <w:bCs/>
        </w:rPr>
        <w:t>РС</w:t>
      </w:r>
      <w:r w:rsidR="00967FB1" w:rsidRPr="004C52C7">
        <w:t xml:space="preserve"> и који је размотрен са ЕУ 23. маја 2017. </w:t>
      </w:r>
      <w:r w:rsidR="00091E72">
        <w:t>г</w:t>
      </w:r>
      <w:r w:rsidR="00967FB1" w:rsidRPr="004C52C7">
        <w:t>одине</w:t>
      </w:r>
      <w:r w:rsidR="00091E72">
        <w:t>.</w:t>
      </w:r>
    </w:p>
    <w:p w:rsidR="00F600B6" w:rsidRDefault="00F600B6" w:rsidP="008730A0">
      <w:pPr>
        <w:ind w:firstLine="720"/>
        <w:jc w:val="both"/>
        <w:rPr>
          <w:color w:val="000000" w:themeColor="text1"/>
        </w:rPr>
      </w:pPr>
      <w:r w:rsidRPr="00F600B6">
        <w:rPr>
          <w:color w:val="000000" w:themeColor="text1"/>
        </w:rPr>
        <w:t xml:space="preserve"> </w:t>
      </w:r>
      <w:r w:rsidR="00AE5058" w:rsidRPr="00F600B6">
        <w:rPr>
          <w:color w:val="000000" w:themeColor="text1"/>
        </w:rPr>
        <w:t>Приоритетне структурне реформе</w:t>
      </w:r>
      <w:r>
        <w:rPr>
          <w:color w:val="000000" w:themeColor="text1"/>
        </w:rPr>
        <w:t xml:space="preserve"> </w:t>
      </w:r>
      <w:r w:rsidR="00AE5058" w:rsidRPr="00AE5058">
        <w:rPr>
          <w:color w:val="000000" w:themeColor="text1"/>
        </w:rPr>
        <w:t xml:space="preserve">организоване </w:t>
      </w:r>
      <w:r>
        <w:rPr>
          <w:color w:val="000000" w:themeColor="text1"/>
        </w:rPr>
        <w:t>с</w:t>
      </w:r>
      <w:r w:rsidR="00AE5058" w:rsidRPr="00AE5058">
        <w:rPr>
          <w:color w:val="000000" w:themeColor="text1"/>
        </w:rPr>
        <w:t>у</w:t>
      </w:r>
      <w:r>
        <w:rPr>
          <w:color w:val="000000" w:themeColor="text1"/>
        </w:rPr>
        <w:t xml:space="preserve"> у</w:t>
      </w:r>
      <w:r w:rsidR="00AE5058" w:rsidRPr="00AE5058">
        <w:rPr>
          <w:color w:val="000000" w:themeColor="text1"/>
        </w:rPr>
        <w:t xml:space="preserve"> осам </w:t>
      </w:r>
      <w:r>
        <w:rPr>
          <w:color w:val="000000" w:themeColor="text1"/>
        </w:rPr>
        <w:t>кључних области:</w:t>
      </w:r>
    </w:p>
    <w:p w:rsidR="00F600B6" w:rsidRPr="00F600B6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управљање јавним финансијама;</w:t>
      </w:r>
    </w:p>
    <w:p w:rsidR="00F600B6" w:rsidRPr="00F600B6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 xml:space="preserve">инфраструктура; </w:t>
      </w:r>
    </w:p>
    <w:p w:rsidR="00F600B6" w:rsidRPr="00F600B6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развој сектора пољопривреде, индустрије и услуга;</w:t>
      </w:r>
    </w:p>
    <w:p w:rsidR="00F600B6" w:rsidRPr="00F600B6" w:rsidRDefault="003956B1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</w:rPr>
        <w:t xml:space="preserve">пословни амбијент </w:t>
      </w:r>
      <w:r w:rsidR="00AE5058" w:rsidRPr="00F600B6">
        <w:rPr>
          <w:color w:val="000000" w:themeColor="text1"/>
        </w:rPr>
        <w:t>и борба против сиве економије;</w:t>
      </w:r>
    </w:p>
    <w:p w:rsidR="00F600B6" w:rsidRPr="00F600B6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технолошка апсорпција и иновације;</w:t>
      </w:r>
    </w:p>
    <w:p w:rsidR="00F600B6" w:rsidRPr="00F600B6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трговинска интегрисаност, запосленост и тржиште рада;</w:t>
      </w:r>
    </w:p>
    <w:p w:rsidR="003956B1" w:rsidRPr="003956B1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социјално укључивање, смањење сиромаштва и</w:t>
      </w:r>
    </w:p>
    <w:p w:rsidR="00F600B6" w:rsidRPr="0089186D" w:rsidRDefault="00AE5058" w:rsidP="008730A0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п</w:t>
      </w:r>
      <w:r w:rsidR="00F600B6">
        <w:rPr>
          <w:color w:val="000000" w:themeColor="text1"/>
        </w:rPr>
        <w:t>ромовисање једнаких могућности.</w:t>
      </w:r>
    </w:p>
    <w:p w:rsidR="0089186D" w:rsidRPr="0082391D" w:rsidRDefault="0089186D" w:rsidP="008730A0">
      <w:pPr>
        <w:pStyle w:val="ListParagraph"/>
        <w:ind w:left="1080"/>
        <w:jc w:val="both"/>
        <w:rPr>
          <w:color w:val="000000" w:themeColor="text1"/>
          <w:lang w:val="sr-Cyrl-CS"/>
        </w:rPr>
      </w:pPr>
    </w:p>
    <w:p w:rsidR="0082391D" w:rsidRPr="001330EB" w:rsidRDefault="0082391D" w:rsidP="008730A0">
      <w:pPr>
        <w:pStyle w:val="Default"/>
        <w:ind w:firstLine="720"/>
        <w:jc w:val="both"/>
        <w:rPr>
          <w:sz w:val="48"/>
          <w:szCs w:val="48"/>
        </w:rPr>
      </w:pPr>
      <w:r>
        <w:rPr>
          <w:color w:val="000000" w:themeColor="text1"/>
          <w:lang w:val="sr-Cyrl-CS"/>
        </w:rPr>
        <w:t xml:space="preserve">Према </w:t>
      </w:r>
      <w:r w:rsidR="001330EB">
        <w:rPr>
          <w:color w:val="000000" w:themeColor="text1"/>
          <w:lang w:val="sr-Cyrl-CS"/>
        </w:rPr>
        <w:t>подацима објављеним на сајту Министарства финансија</w:t>
      </w:r>
      <w:r w:rsidR="0054127C">
        <w:rPr>
          <w:color w:val="000000" w:themeColor="text1"/>
          <w:lang w:val="sr-Cyrl-CS"/>
        </w:rPr>
        <w:t xml:space="preserve"> од</w:t>
      </w:r>
      <w:r w:rsidR="001330EB">
        <w:rPr>
          <w:color w:val="000000" w:themeColor="text1"/>
          <w:lang w:val="sr-Cyrl-CS"/>
        </w:rPr>
        <w:t xml:space="preserve"> 28. јуна 2017 године</w:t>
      </w:r>
      <w:r w:rsidR="0054127C">
        <w:rPr>
          <w:color w:val="000000" w:themeColor="text1"/>
          <w:lang w:val="sr-Cyrl-CS"/>
        </w:rPr>
        <w:t>,</w:t>
      </w:r>
      <w:r w:rsidR="001330EB">
        <w:rPr>
          <w:color w:val="000000" w:themeColor="text1"/>
          <w:lang w:val="sr-Cyrl-CS"/>
        </w:rPr>
        <w:t xml:space="preserve"> а које је припремио С</w:t>
      </w:r>
      <w:r w:rsidR="001330EB" w:rsidRPr="001330EB">
        <w:rPr>
          <w:bCs/>
        </w:rPr>
        <w:t xml:space="preserve">ектор за макроекономске и фискалне анализе и пројекције </w:t>
      </w:r>
    </w:p>
    <w:p w:rsidR="005D48D6" w:rsidRPr="005D48D6" w:rsidRDefault="005D48D6" w:rsidP="008730A0">
      <w:pPr>
        <w:jc w:val="both"/>
        <w:rPr>
          <w:color w:val="000000" w:themeColor="text1"/>
          <w:lang w:val="sr-Cyrl-CS"/>
        </w:rPr>
      </w:pPr>
      <w:r w:rsidRPr="005D48D6">
        <w:rPr>
          <w:bCs/>
        </w:rPr>
        <w:t xml:space="preserve"> у првом кварталу 2017. године остварен је међугодишњи раст привредне активности од 1,2%.</w:t>
      </w:r>
    </w:p>
    <w:p w:rsidR="005E2B65" w:rsidRDefault="005D48D6" w:rsidP="008730A0">
      <w:pPr>
        <w:ind w:firstLine="720"/>
        <w:jc w:val="both"/>
        <w:rPr>
          <w:bCs/>
        </w:rPr>
      </w:pPr>
      <w:r w:rsidRPr="005D48D6">
        <w:rPr>
          <w:bCs/>
        </w:rPr>
        <w:t xml:space="preserve">У првом кварталу 2017. године убрзан је раст домаће тражње, пре свега приватне потрошње, што је резултат раста животног стандарда становништва. То </w:t>
      </w:r>
      <w:r w:rsidRPr="005D48D6">
        <w:rPr>
          <w:bCs/>
        </w:rPr>
        <w:lastRenderedPageBreak/>
        <w:t xml:space="preserve">потврђују и </w:t>
      </w:r>
      <w:r w:rsidR="0089186D">
        <w:rPr>
          <w:bCs/>
        </w:rPr>
        <w:t>реал</w:t>
      </w:r>
      <w:r w:rsidRPr="005D48D6">
        <w:rPr>
          <w:bCs/>
        </w:rPr>
        <w:t>ни раст зарада и запослености у приватном сектору, раст новоодобрених кредита становништву (готовинских и стамбених), као и раст промета у трговини на мало. Приватне инвестиције такође доприносе расту домаће тражње, док је допринос јавних инвестиција негативан, услед нешто слабијег извршења капиталних расхода као последица неповољних временских услова.</w:t>
      </w:r>
    </w:p>
    <w:p w:rsidR="001574C9" w:rsidRPr="001574C9" w:rsidRDefault="001574C9" w:rsidP="008730A0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</w:rPr>
      </w:pPr>
    </w:p>
    <w:p w:rsidR="001574C9" w:rsidRDefault="001574C9" w:rsidP="008730A0">
      <w:pPr>
        <w:ind w:firstLine="720"/>
        <w:jc w:val="both"/>
        <w:rPr>
          <w:rFonts w:eastAsiaTheme="minorHAnsi"/>
          <w:bCs/>
        </w:rPr>
      </w:pPr>
      <w:r w:rsidRPr="001574C9">
        <w:rPr>
          <w:rFonts w:eastAsiaTheme="minorHAnsi"/>
          <w:bCs/>
        </w:rPr>
        <w:t>Према подацима из Централног регистра обавезног социјалног осигурања просечан број формално запослених у априлу</w:t>
      </w:r>
      <w:r>
        <w:rPr>
          <w:rFonts w:eastAsiaTheme="minorHAnsi"/>
          <w:bCs/>
        </w:rPr>
        <w:t xml:space="preserve"> </w:t>
      </w:r>
      <w:r w:rsidRPr="001574C9">
        <w:rPr>
          <w:rFonts w:eastAsiaTheme="minorHAnsi"/>
          <w:bCs/>
        </w:rPr>
        <w:t>2017. године повећан је за 3,1% , што је у потпуности резултат раста запослености у приватном сектору (5,4%), док је у јавном сектору број запослених смањен за 1,6%. У периоду јануар-април просечан број запослених је повећан за</w:t>
      </w:r>
      <w:r>
        <w:rPr>
          <w:rFonts w:eastAsiaTheme="minorHAnsi"/>
          <w:bCs/>
        </w:rPr>
        <w:t xml:space="preserve"> 2,7%</w:t>
      </w:r>
      <w:r w:rsidRPr="001574C9">
        <w:rPr>
          <w:rFonts w:eastAsiaTheme="minorHAnsi"/>
          <w:bCs/>
        </w:rPr>
        <w:t>. Истовремено, раст запослености забележен је у прерађивачкој индустрији, трговини и др, што је у складу са повољним економским кретањима у овим секторима</w:t>
      </w:r>
      <w:r w:rsidR="007C1304">
        <w:rPr>
          <w:rFonts w:eastAsiaTheme="minorHAnsi"/>
          <w:bCs/>
        </w:rPr>
        <w:t>.</w:t>
      </w:r>
    </w:p>
    <w:p w:rsidR="007C1304" w:rsidRPr="007C1304" w:rsidRDefault="007C1304" w:rsidP="008730A0">
      <w:pPr>
        <w:ind w:firstLine="720"/>
        <w:jc w:val="both"/>
        <w:rPr>
          <w:color w:val="000000" w:themeColor="text1"/>
        </w:rPr>
      </w:pPr>
      <w:r w:rsidRPr="007C1304">
        <w:rPr>
          <w:bCs/>
        </w:rPr>
        <w:t>У прва четири месеца 2017. настављен је стабилан нето прилив страних директних инвестиција уз благи раст (4,3%), а претежно су усмерене у извозно оријентисане делатности.</w:t>
      </w:r>
    </w:p>
    <w:p w:rsidR="00207AFA" w:rsidRPr="008E21A7" w:rsidRDefault="005E2B65" w:rsidP="008730A0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</w:t>
      </w:r>
    </w:p>
    <w:p w:rsidR="00D82453" w:rsidRDefault="008E21A7" w:rsidP="008730A0">
      <w:pPr>
        <w:pStyle w:val="Default"/>
        <w:ind w:firstLine="720"/>
        <w:jc w:val="both"/>
      </w:pPr>
      <w:r>
        <w:rPr>
          <w:b/>
          <w:bCs/>
          <w:color w:val="auto"/>
        </w:rPr>
        <w:t>Програм</w:t>
      </w:r>
      <w:r w:rsidR="00207AFA" w:rsidRPr="00577260">
        <w:rPr>
          <w:b/>
          <w:bCs/>
          <w:color w:val="auto"/>
        </w:rPr>
        <w:t xml:space="preserve"> економских реформи за период од 2017. до 2019. године</w:t>
      </w:r>
      <w:r w:rsidR="00207AFA" w:rsidRPr="00207AFA">
        <w:rPr>
          <w:bCs/>
          <w:color w:val="auto"/>
        </w:rPr>
        <w:t xml:space="preserve"> </w:t>
      </w:r>
      <w:r w:rsidR="00207AFA">
        <w:rPr>
          <w:bCs/>
          <w:color w:val="auto"/>
        </w:rPr>
        <w:t xml:space="preserve"> предвиђа да се у </w:t>
      </w:r>
      <w:r w:rsidR="00207AFA">
        <w:t>2017. години настави</w:t>
      </w:r>
      <w:r w:rsidR="004C52C7">
        <w:t xml:space="preserve"> са </w:t>
      </w:r>
      <w:r w:rsidR="006820E0" w:rsidRPr="00207AFA">
        <w:t>консолидаци</w:t>
      </w:r>
      <w:r w:rsidR="00207AFA">
        <w:t>јом</w:t>
      </w:r>
      <w:r w:rsidR="006820E0" w:rsidRPr="00207AFA">
        <w:t xml:space="preserve"> јавних финансија. У процесу рационализације броја запослених у оквиру опште државе предвиђено је смањење за око пет хиљада људи. Наставиће се и процес реструктурирања јавних и некадашњих друштвених предузећа како би се смањило оптерећење јавних финансија и целе привреде које ова предузећа тренутно представљају. Законом о финансирању локалних самоуправа прерасподељен је приход по основу пореза на зараде у корист буџета Републике у износу од око 5 млрд динара. Осим смањења дефицита опште државе, циљ ове мере је да се подстакну локалне самоуправе да унапреде прикупљање прихода у својој надлежности, пре све</w:t>
      </w:r>
      <w:r w:rsidR="00C926D4">
        <w:t>га пореза на имовину, и побољшањ</w:t>
      </w:r>
      <w:r w:rsidR="00792B1D">
        <w:t>у стањa</w:t>
      </w:r>
      <w:r w:rsidR="006820E0" w:rsidRPr="00207AFA">
        <w:t xml:space="preserve"> својих финансија</w:t>
      </w:r>
      <w:r w:rsidR="00C926D4">
        <w:t>.</w:t>
      </w:r>
    </w:p>
    <w:p w:rsidR="00577260" w:rsidRDefault="00577260" w:rsidP="008730A0">
      <w:pPr>
        <w:pStyle w:val="Default"/>
        <w:ind w:firstLine="720"/>
        <w:jc w:val="both"/>
      </w:pPr>
      <w:r w:rsidRPr="00577260">
        <w:t>Од посебног значаја за продуктивно запошљавање у наредном периоду јесте усаглашавање политика запошљавања, образовања и научно-технолошког развоја ради прилагођавања нивоа знања и вештина и запошљавања према потребама тржишта рада. С тим у вези у наредном средњорочном периоду очекују се реформе у области тржишта рада и образовног система, посебно увођење система дуалног образовања, којим ће се обезбедити повезаност квалификоване радне снаге са стварним потребама тржишта рада. У наредном периоду очекује се да ће раст реалних нето зарада у приватном сектору пратити раст продуктивности у привреди. Спорији раст реалних нето зарада од раста реалног БДП, као и раст зарада у складу са растом продуктивности утицаће на смањивање јединичних трошкова рада и на побољшање конкурентске позиције земље.</w:t>
      </w:r>
    </w:p>
    <w:p w:rsidR="00577260" w:rsidRPr="00577260" w:rsidRDefault="00577260" w:rsidP="008730A0">
      <w:pPr>
        <w:pStyle w:val="Default"/>
        <w:ind w:firstLine="720"/>
        <w:jc w:val="both"/>
        <w:rPr>
          <w:color w:val="auto"/>
        </w:rPr>
      </w:pPr>
      <w:r w:rsidRPr="00577260">
        <w:t xml:space="preserve">Процењује се да ће инфлација остати ниска и стабилна и у нaредном периоду, као и да ће се </w:t>
      </w:r>
      <w:r>
        <w:t>до краја</w:t>
      </w:r>
      <w:r w:rsidRPr="00577260">
        <w:t xml:space="preserve"> 2017. године наћи у границама циља (3,0% ± 1,5 п.п.), а затим наставити кретање унутар тих граница до краја периода пројекције, тј. до краја 2019. године</w:t>
      </w:r>
      <w:r>
        <w:rPr>
          <w:sz w:val="23"/>
          <w:szCs w:val="23"/>
        </w:rPr>
        <w:t>.</w:t>
      </w:r>
    </w:p>
    <w:p w:rsidR="005E2B65" w:rsidRDefault="0041210B" w:rsidP="008730A0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</w:rPr>
      </w:pPr>
      <w:r w:rsidRPr="00207AFA">
        <w:rPr>
          <w:rFonts w:eastAsia="TimesNewRomanPSMT"/>
          <w:color w:val="000000"/>
        </w:rPr>
        <w:t xml:space="preserve">Такође, </w:t>
      </w:r>
      <w:r w:rsidRPr="00207AFA">
        <w:rPr>
          <w:rFonts w:eastAsia="TimesNewRomanPSMT"/>
          <w:b/>
          <w:color w:val="000000"/>
        </w:rPr>
        <w:t>у склопу реформе јавне управе,</w:t>
      </w:r>
      <w:r w:rsidRPr="00207AFA">
        <w:rPr>
          <w:rFonts w:eastAsia="TimesNewRomanPSMT"/>
          <w:color w:val="000000"/>
        </w:rPr>
        <w:t xml:space="preserve"> усвојиће се зак</w:t>
      </w:r>
      <w:r w:rsidRPr="0041210B">
        <w:rPr>
          <w:rFonts w:eastAsia="TimesNewRomanPSMT"/>
          <w:color w:val="000000"/>
        </w:rPr>
        <w:t>онска решења којима се уређује систем зарада у сектору државе, систем платних</w:t>
      </w:r>
      <w:r>
        <w:rPr>
          <w:rFonts w:eastAsia="TimesNewRomanPSMT"/>
          <w:color w:val="000000"/>
        </w:rPr>
        <w:t xml:space="preserve"> </w:t>
      </w:r>
      <w:r w:rsidRPr="0041210B">
        <w:rPr>
          <w:rFonts w:eastAsia="TimesNewRomanPSMT"/>
          <w:color w:val="000000"/>
        </w:rPr>
        <w:t>разреда, унапређење регистра запослених у јавном сектору, каталогизација радних места,</w:t>
      </w:r>
      <w:r>
        <w:rPr>
          <w:rFonts w:eastAsia="TimesNewRomanPSMT"/>
          <w:color w:val="000000"/>
        </w:rPr>
        <w:t xml:space="preserve"> </w:t>
      </w:r>
      <w:r w:rsidRPr="0041210B">
        <w:rPr>
          <w:rFonts w:eastAsia="TimesNewRomanPSMT"/>
          <w:color w:val="000000"/>
        </w:rPr>
        <w:t>одређивање максималног броја запослених и план смањења односно оптимизације</w:t>
      </w:r>
      <w:r>
        <w:rPr>
          <w:rFonts w:eastAsia="TimesNewRomanPSMT"/>
          <w:color w:val="000000"/>
        </w:rPr>
        <w:t xml:space="preserve"> </w:t>
      </w:r>
      <w:r w:rsidRPr="0041210B">
        <w:rPr>
          <w:rFonts w:eastAsia="TimesNewRomanPSMT"/>
          <w:color w:val="000000"/>
        </w:rPr>
        <w:t xml:space="preserve">структуре запослених </w:t>
      </w:r>
      <w:r>
        <w:rPr>
          <w:rFonts w:eastAsia="TimesNewRomanPSMT"/>
          <w:color w:val="000000"/>
        </w:rPr>
        <w:t xml:space="preserve">у </w:t>
      </w:r>
      <w:r w:rsidRPr="0041210B">
        <w:rPr>
          <w:rFonts w:eastAsia="TimesNewRomanPSMT"/>
          <w:color w:val="000000"/>
        </w:rPr>
        <w:t>сектору државе.</w:t>
      </w:r>
    </w:p>
    <w:p w:rsidR="00101743" w:rsidRPr="002318B0" w:rsidRDefault="005C07F5" w:rsidP="008730A0">
      <w:pPr>
        <w:autoSpaceDE w:val="0"/>
        <w:autoSpaceDN w:val="0"/>
        <w:adjustRightInd w:val="0"/>
        <w:ind w:firstLine="720"/>
        <w:jc w:val="both"/>
        <w:rPr>
          <w:rStyle w:val="Strong"/>
          <w:b w:val="0"/>
        </w:rPr>
      </w:pPr>
      <w:r w:rsidRPr="005C07F5">
        <w:rPr>
          <w:rStyle w:val="Strong"/>
          <w:b w:val="0"/>
        </w:rPr>
        <w:t>Влада Републике Србије</w:t>
      </w:r>
      <w:r w:rsidR="0072429B">
        <w:rPr>
          <w:rStyle w:val="Strong"/>
          <w:b w:val="0"/>
        </w:rPr>
        <w:t>, 20. јуна 2017. године</w:t>
      </w:r>
      <w:r w:rsidRPr="005C07F5">
        <w:rPr>
          <w:rStyle w:val="Strong"/>
          <w:b w:val="0"/>
        </w:rPr>
        <w:t xml:space="preserve"> донела је Одлуку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</w:t>
      </w:r>
      <w:r w:rsidRPr="005C07F5">
        <w:rPr>
          <w:rStyle w:val="Strong"/>
          <w:b w:val="0"/>
        </w:rPr>
        <w:lastRenderedPageBreak/>
        <w:t>2017. годину.</w:t>
      </w:r>
      <w:r w:rsidR="008C180F" w:rsidRPr="008C180F">
        <w:rPr>
          <w:rFonts w:ascii="Helvetica" w:hAnsi="Helvetica" w:cs="Arial"/>
          <w:color w:val="333333"/>
          <w:sz w:val="18"/>
          <w:szCs w:val="18"/>
        </w:rPr>
        <w:t xml:space="preserve"> </w:t>
      </w:r>
      <w:r w:rsidR="008C180F" w:rsidRPr="008C180F">
        <w:t>Јединице локалне самоуправе које имају број запослених испод предвиђеног оптимума добиле су простор за ново запошљавање, док оне изнад тог броја морају и ове године да смањују број запослених</w:t>
      </w:r>
      <w:r w:rsidR="008C180F" w:rsidRPr="00831A43">
        <w:t xml:space="preserve">. </w:t>
      </w:r>
      <w:r w:rsidR="008C180F" w:rsidRPr="002318B0">
        <w:rPr>
          <w:rStyle w:val="Strong"/>
          <w:b w:val="0"/>
        </w:rPr>
        <w:t>До краја ове године на локалу је предвиђено укупно смањење броја запослених од 2.500.</w:t>
      </w:r>
    </w:p>
    <w:p w:rsidR="00D455D2" w:rsidRPr="00831A43" w:rsidRDefault="00D455D2" w:rsidP="008730A0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</w:rPr>
      </w:pPr>
      <w:r w:rsidRPr="00831A43">
        <w:rPr>
          <w:rStyle w:val="Strong"/>
          <w:b w:val="0"/>
        </w:rPr>
        <w:t>Према</w:t>
      </w:r>
      <w:r w:rsidRPr="00831A43">
        <w:rPr>
          <w:rStyle w:val="Strong"/>
        </w:rPr>
        <w:t xml:space="preserve"> </w:t>
      </w:r>
      <w:r w:rsidRPr="00831A43">
        <w:rPr>
          <w:rStyle w:val="Strong"/>
          <w:b w:val="0"/>
        </w:rPr>
        <w:t>напред наведеној Одлуци,</w:t>
      </w:r>
      <w:r w:rsidRPr="00831A43">
        <w:rPr>
          <w:rStyle w:val="Strong"/>
        </w:rPr>
        <w:t xml:space="preserve"> </w:t>
      </w:r>
      <w:r w:rsidRPr="00831A43">
        <w:rPr>
          <w:rStyle w:val="Strong"/>
          <w:b w:val="0"/>
        </w:rPr>
        <w:t xml:space="preserve">за 2017. </w:t>
      </w:r>
      <w:r w:rsidR="009E7E7B">
        <w:rPr>
          <w:rStyle w:val="Strong"/>
          <w:b w:val="0"/>
        </w:rPr>
        <w:t>г</w:t>
      </w:r>
      <w:r w:rsidRPr="00831A43">
        <w:rPr>
          <w:rStyle w:val="Strong"/>
          <w:b w:val="0"/>
        </w:rPr>
        <w:t>одину</w:t>
      </w:r>
      <w:r w:rsidRPr="00831A43">
        <w:t xml:space="preserve"> </w:t>
      </w:r>
      <w:r w:rsidRPr="00831A43">
        <w:rPr>
          <w:b/>
        </w:rPr>
        <w:t>максималан број запослених</w:t>
      </w:r>
      <w:r w:rsidRPr="00831A43">
        <w:t xml:space="preserve"> на неодређено време у систему локалне самоуправе </w:t>
      </w:r>
      <w:r w:rsidRPr="00831A43">
        <w:rPr>
          <w:b/>
        </w:rPr>
        <w:t>општине Горњи Милановац износи 491.</w:t>
      </w:r>
    </w:p>
    <w:p w:rsidR="00E46020" w:rsidRPr="00FE712E" w:rsidRDefault="00A137B1" w:rsidP="008730A0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</w:rPr>
      </w:pPr>
      <w:r w:rsidRPr="00BC1D8F">
        <w:rPr>
          <w:rFonts w:eastAsia="TimesNewRomanPSMT"/>
        </w:rPr>
        <w:t>Општи циљеви реформе система плата у јавном сектору су: смањење неједнакости у</w:t>
      </w:r>
      <w:r w:rsidR="00BC1D8F">
        <w:rPr>
          <w:rFonts w:eastAsia="TimesNewRomanPSMT"/>
        </w:rPr>
        <w:t xml:space="preserve"> </w:t>
      </w:r>
      <w:r w:rsidRPr="00BC1D8F">
        <w:rPr>
          <w:rFonts w:eastAsia="TimesNewRomanPSMT"/>
        </w:rPr>
        <w:t>платама, односно стварање правичности кроз увођење принципа једнака плата за једнак</w:t>
      </w:r>
      <w:r w:rsidR="00BC1D8F">
        <w:rPr>
          <w:rFonts w:eastAsia="TimesNewRomanPSMT"/>
        </w:rPr>
        <w:t xml:space="preserve"> </w:t>
      </w:r>
      <w:r w:rsidRPr="00BC1D8F">
        <w:rPr>
          <w:rFonts w:eastAsia="TimesNewRomanPSMT"/>
        </w:rPr>
        <w:t>рад, јачање контроле буџета и</w:t>
      </w:r>
      <w:r w:rsidR="00BC1D8F">
        <w:rPr>
          <w:rFonts w:eastAsia="TimesNewRomanPSMT"/>
        </w:rPr>
        <w:t xml:space="preserve"> </w:t>
      </w:r>
      <w:r w:rsidRPr="00BC1D8F">
        <w:rPr>
          <w:rFonts w:eastAsia="TimesNewRomanPSMT"/>
        </w:rPr>
        <w:t>управљивост масом плата и повећање транспарентности</w:t>
      </w:r>
      <w:r w:rsidR="00BC1D8F">
        <w:rPr>
          <w:rFonts w:eastAsia="TimesNewRomanPSMT"/>
        </w:rPr>
        <w:t xml:space="preserve"> </w:t>
      </w:r>
      <w:r w:rsidRPr="00BC1D8F">
        <w:rPr>
          <w:rFonts w:eastAsia="TimesNewRomanPSMT"/>
        </w:rPr>
        <w:t>система. Поред тога, шири циљ реформе јавне управе у чији контекст се смешта реформа</w:t>
      </w:r>
      <w:r w:rsidR="00BC1D8F">
        <w:rPr>
          <w:rFonts w:eastAsia="TimesNewRomanPSMT"/>
        </w:rPr>
        <w:t xml:space="preserve"> </w:t>
      </w:r>
      <w:r w:rsidRPr="00BC1D8F">
        <w:rPr>
          <w:rFonts w:eastAsia="TimesNewRomanPSMT"/>
        </w:rPr>
        <w:t>плата јесте и јачање учинка и делотворности јавне управе</w:t>
      </w:r>
      <w:r w:rsidR="00BC1D8F">
        <w:rPr>
          <w:rFonts w:eastAsia="TimesNewRomanPSMT"/>
        </w:rPr>
        <w:t>.</w:t>
      </w:r>
      <w:r w:rsidR="00FE712E" w:rsidRPr="00FE712E">
        <w:rPr>
          <w:rFonts w:ascii="TimesNewRomanPSMT" w:eastAsia="TimesNewRomanPSMT" w:hAnsiTheme="minorHAnsi" w:cs="TimesNewRomanPSMT" w:hint="eastAsia"/>
          <w:color w:val="000000"/>
        </w:rPr>
        <w:t xml:space="preserve"> </w:t>
      </w:r>
      <w:r w:rsidR="00FE712E" w:rsidRPr="00FE712E">
        <w:rPr>
          <w:rFonts w:eastAsia="TimesNewRomanPSMT"/>
          <w:color w:val="000000"/>
        </w:rPr>
        <w:t>Подаци у Регистру запослених</w:t>
      </w:r>
      <w:r w:rsidR="00FE712E">
        <w:rPr>
          <w:rFonts w:eastAsia="TimesNewRomanPSMT"/>
          <w:color w:val="000000"/>
        </w:rPr>
        <w:t xml:space="preserve"> </w:t>
      </w:r>
      <w:r w:rsidR="00FE712E" w:rsidRPr="00FE712E">
        <w:rPr>
          <w:rFonts w:eastAsia="TimesNewRomanPSMT"/>
          <w:color w:val="000000"/>
        </w:rPr>
        <w:t>ће бити допуњени називима и описом послова из каталога радних места и звања у јавном</w:t>
      </w:r>
      <w:r w:rsidR="000F26F6">
        <w:rPr>
          <w:rFonts w:eastAsia="TimesNewRomanPSMT"/>
          <w:color w:val="000000"/>
        </w:rPr>
        <w:t xml:space="preserve"> </w:t>
      </w:r>
      <w:r w:rsidR="00FE712E" w:rsidRPr="00FE712E">
        <w:rPr>
          <w:rFonts w:eastAsia="TimesNewRomanPSMT"/>
          <w:color w:val="000000"/>
        </w:rPr>
        <w:t>сектору (по областима). Каталози представљају попис, класификацију и вредновање радних</w:t>
      </w:r>
      <w:r w:rsidR="00FE712E">
        <w:rPr>
          <w:rFonts w:eastAsia="TimesNewRomanPSMT"/>
          <w:color w:val="000000"/>
        </w:rPr>
        <w:t xml:space="preserve"> </w:t>
      </w:r>
      <w:r w:rsidR="00FE712E" w:rsidRPr="00FE712E">
        <w:rPr>
          <w:rFonts w:eastAsia="TimesNewRomanPSMT"/>
          <w:color w:val="000000"/>
        </w:rPr>
        <w:t>места, што је један од најважнијих корака у спровођењу реформе платног система</w:t>
      </w:r>
      <w:r w:rsidR="00FE712E" w:rsidRPr="00FE712E">
        <w:rPr>
          <w:rFonts w:eastAsia="TimesNewRomanPSMT"/>
          <w:color w:val="FF0000"/>
        </w:rPr>
        <w:t>.</w:t>
      </w:r>
    </w:p>
    <w:p w:rsidR="00BC1D8F" w:rsidRPr="00FE712E" w:rsidRDefault="00BC1D8F" w:rsidP="008730A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DD7AB0" w:rsidRPr="00DD7AB0" w:rsidRDefault="00DD7AB0" w:rsidP="008730A0">
      <w:pPr>
        <w:pStyle w:val="Default"/>
        <w:ind w:firstLine="720"/>
        <w:jc w:val="both"/>
      </w:pPr>
      <w:r w:rsidRPr="00DD7AB0">
        <w:t xml:space="preserve"> Основни циљеви економске и фискалне политике Владе у наредном трогодишњем периоду су: </w:t>
      </w:r>
    </w:p>
    <w:p w:rsidR="00DD7AB0" w:rsidRPr="00DD7AB0" w:rsidRDefault="00DD7AB0" w:rsidP="008730A0">
      <w:pPr>
        <w:pStyle w:val="Default"/>
        <w:numPr>
          <w:ilvl w:val="0"/>
          <w:numId w:val="14"/>
        </w:numPr>
        <w:spacing w:after="44"/>
        <w:jc w:val="both"/>
      </w:pPr>
      <w:r w:rsidRPr="00DD7AB0">
        <w:t xml:space="preserve">одржавање макроекономске стабилности </w:t>
      </w:r>
    </w:p>
    <w:p w:rsidR="00DD7AB0" w:rsidRPr="00DD7AB0" w:rsidRDefault="00DD7AB0" w:rsidP="008730A0">
      <w:pPr>
        <w:pStyle w:val="Default"/>
        <w:numPr>
          <w:ilvl w:val="0"/>
          <w:numId w:val="14"/>
        </w:numPr>
        <w:spacing w:after="44"/>
        <w:jc w:val="both"/>
      </w:pPr>
      <w:r w:rsidRPr="00DD7AB0">
        <w:t xml:space="preserve">заустављање даљег раста дуга и успостављање тренда његовог смањења </w:t>
      </w:r>
    </w:p>
    <w:p w:rsidR="00DD7AB0" w:rsidRPr="00DD7AB0" w:rsidRDefault="00DD7AB0" w:rsidP="008730A0">
      <w:pPr>
        <w:pStyle w:val="Default"/>
        <w:numPr>
          <w:ilvl w:val="0"/>
          <w:numId w:val="14"/>
        </w:numPr>
        <w:jc w:val="both"/>
      </w:pPr>
      <w:r w:rsidRPr="00DD7AB0">
        <w:t xml:space="preserve">наставак примене структурних реформи, посебно у домену јавних предузећа, као и подизање ефикасности јавног сектора </w:t>
      </w:r>
    </w:p>
    <w:p w:rsidR="00DD7AB0" w:rsidRPr="00DD7AB0" w:rsidRDefault="00DD7AB0" w:rsidP="008730A0">
      <w:pPr>
        <w:pStyle w:val="Default"/>
        <w:jc w:val="both"/>
      </w:pPr>
    </w:p>
    <w:p w:rsidR="008205FA" w:rsidRPr="002F3F26" w:rsidRDefault="00C5330C" w:rsidP="008730A0">
      <w:pPr>
        <w:ind w:firstLine="720"/>
        <w:jc w:val="both"/>
      </w:pPr>
      <w:r w:rsidRPr="002F3F26">
        <w:rPr>
          <w:lang w:val="sr-Cyrl-CS"/>
        </w:rPr>
        <w:t>Имајући у виду да је законски рок да локални орган надлежан за финансије буџетским корисницима достави Упу</w:t>
      </w:r>
      <w:r w:rsidR="00127114">
        <w:rPr>
          <w:lang w:val="sr-Cyrl-CS"/>
        </w:rPr>
        <w:t>тство за  припрему Н</w:t>
      </w:r>
      <w:r w:rsidRPr="002F3F26">
        <w:rPr>
          <w:lang w:val="sr-Cyrl-CS"/>
        </w:rPr>
        <w:t>ацрта буџета 1. август 201</w:t>
      </w:r>
      <w:r w:rsidR="008205FA" w:rsidRPr="002F3F26">
        <w:t>7</w:t>
      </w:r>
      <w:r w:rsidRPr="002F3F26">
        <w:rPr>
          <w:lang w:val="sr-Cyrl-CS"/>
        </w:rPr>
        <w:t xml:space="preserve">. године, </w:t>
      </w:r>
      <w:r w:rsidR="00464408" w:rsidRPr="002F3F26">
        <w:rPr>
          <w:lang w:val="sr-Cyrl-CS"/>
        </w:rPr>
        <w:t>приступило се његовој изради полазећ</w:t>
      </w:r>
      <w:r w:rsidR="008205FA" w:rsidRPr="002F3F26">
        <w:rPr>
          <w:lang w:val="sr-Cyrl-CS"/>
        </w:rPr>
        <w:t>и од Фискалне стратегије за 201</w:t>
      </w:r>
      <w:r w:rsidR="000822FE">
        <w:t>7</w:t>
      </w:r>
      <w:r w:rsidR="008205FA" w:rsidRPr="002F3F26">
        <w:rPr>
          <w:lang w:val="sr-Cyrl-CS"/>
        </w:rPr>
        <w:t>. годину са пројекцијама за 201</w:t>
      </w:r>
      <w:r w:rsidR="000822FE">
        <w:t>8</w:t>
      </w:r>
      <w:r w:rsidR="006077B6" w:rsidRPr="002F3F26">
        <w:rPr>
          <w:lang w:val="sr-Cyrl-CS"/>
        </w:rPr>
        <w:t>. и 201</w:t>
      </w:r>
      <w:r w:rsidR="000822FE">
        <w:t>9</w:t>
      </w:r>
      <w:r w:rsidR="008205FA" w:rsidRPr="002F3F26">
        <w:rPr>
          <w:lang w:val="sr-Cyrl-CS"/>
        </w:rPr>
        <w:t xml:space="preserve">. </w:t>
      </w:r>
      <w:r w:rsidR="008205FA" w:rsidRPr="002F3F26">
        <w:t>г</w:t>
      </w:r>
      <w:r w:rsidR="008205FA" w:rsidRPr="002F3F26">
        <w:rPr>
          <w:lang w:val="sr-Cyrl-CS"/>
        </w:rPr>
        <w:t>одину</w:t>
      </w:r>
      <w:r w:rsidR="008205FA" w:rsidRPr="002F3F26">
        <w:t>.</w:t>
      </w:r>
    </w:p>
    <w:p w:rsidR="008205FA" w:rsidRPr="002F3F26" w:rsidRDefault="008205FA" w:rsidP="008730A0">
      <w:pPr>
        <w:ind w:firstLine="720"/>
        <w:jc w:val="both"/>
      </w:pPr>
    </w:p>
    <w:p w:rsidR="008850F9" w:rsidRPr="002F3F26" w:rsidRDefault="00831F7A" w:rsidP="008730A0">
      <w:pPr>
        <w:ind w:firstLine="720"/>
        <w:jc w:val="both"/>
        <w:rPr>
          <w:lang w:val="sr-Cyrl-CS"/>
        </w:rPr>
      </w:pPr>
      <w:r w:rsidRPr="002F3F26">
        <w:rPr>
          <w:lang w:val="ru-RU"/>
        </w:rPr>
        <w:t>Закон</w:t>
      </w:r>
      <w:r w:rsidRPr="002F3F26">
        <w:t>o</w:t>
      </w:r>
      <w:r w:rsidRPr="002F3F26">
        <w:rPr>
          <w:lang w:val="sr-Cyrl-CS"/>
        </w:rPr>
        <w:t xml:space="preserve">м </w:t>
      </w:r>
      <w:r>
        <w:rPr>
          <w:lang w:val="sr-Cyrl-CS"/>
        </w:rPr>
        <w:t>о буџетском систему</w:t>
      </w:r>
      <w:r w:rsidR="008850F9" w:rsidRPr="002F3F26">
        <w:rPr>
          <w:lang w:val="sr-Cyrl-CS"/>
        </w:rPr>
        <w:t xml:space="preserve"> дефинисано је да фискални дефицит локалне власти може настати само као резултат јавних инвестиција и не може бити већи од 10% њених прихода у тој години.</w:t>
      </w:r>
      <w:r w:rsidR="00AF1171" w:rsidRPr="002F3F26">
        <w:rPr>
          <w:lang w:val="sr-Cyrl-CS"/>
        </w:rPr>
        <w:t xml:space="preserve"> </w:t>
      </w:r>
      <w:r w:rsidR="008850F9" w:rsidRPr="002F3F26">
        <w:rPr>
          <w:lang w:val="sr-Cyrl-CS"/>
        </w:rPr>
        <w:t xml:space="preserve">За одобрење фискалног дефицита изнад наведеног износа, само уколико је оно резултат реализације инвестиција, </w:t>
      </w:r>
      <w:r w:rsidR="00012E8F" w:rsidRPr="002F3F26">
        <w:rPr>
          <w:lang w:val="sr-Cyrl-CS"/>
        </w:rPr>
        <w:t xml:space="preserve">извршни орган  </w:t>
      </w:r>
      <w:r w:rsidR="008850F9" w:rsidRPr="002F3F26">
        <w:rPr>
          <w:lang w:val="sr-Cyrl-CS"/>
        </w:rPr>
        <w:t xml:space="preserve">локалне власти </w:t>
      </w:r>
      <w:r w:rsidR="00012E8F" w:rsidRPr="002F3F26">
        <w:rPr>
          <w:lang w:val="sr-Cyrl-CS"/>
        </w:rPr>
        <w:t xml:space="preserve">може да поднесе </w:t>
      </w:r>
      <w:r w:rsidR="008850F9" w:rsidRPr="002F3F26">
        <w:rPr>
          <w:lang w:val="sr-Cyrl-CS"/>
        </w:rPr>
        <w:t>захтев Минист</w:t>
      </w:r>
      <w:r w:rsidR="004C5807" w:rsidRPr="002F3F26">
        <w:rPr>
          <w:lang w:val="sr-Cyrl-CS"/>
        </w:rPr>
        <w:t xml:space="preserve">арству финансија најкасније до </w:t>
      </w:r>
      <w:r w:rsidR="008850F9" w:rsidRPr="002F3F26">
        <w:rPr>
          <w:lang w:val="sr-Cyrl-CS"/>
        </w:rPr>
        <w:t>1. маја текуће године за наредну буџетску годину.</w:t>
      </w:r>
    </w:p>
    <w:p w:rsidR="00944D27" w:rsidRPr="002F3F26" w:rsidRDefault="00944D27" w:rsidP="008730A0">
      <w:pPr>
        <w:ind w:firstLine="720"/>
        <w:jc w:val="both"/>
        <w:rPr>
          <w:lang w:val="sr-Cyrl-CS"/>
        </w:rPr>
      </w:pPr>
    </w:p>
    <w:p w:rsidR="003C5E65" w:rsidRPr="002F3F26" w:rsidRDefault="003C5E65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Приликом припреме предлога финансијски </w:t>
      </w:r>
      <w:r w:rsidR="00230432">
        <w:rPr>
          <w:lang w:val="sr-Cyrl-CS"/>
        </w:rPr>
        <w:t>планова треба имати у виду</w:t>
      </w:r>
      <w:r w:rsidRPr="002F3F26">
        <w:rPr>
          <w:lang w:val="sr-Cyrl-CS"/>
        </w:rPr>
        <w:t xml:space="preserve"> </w:t>
      </w:r>
      <w:r w:rsidRPr="002A063A">
        <w:rPr>
          <w:lang w:val="sr-Cyrl-CS"/>
        </w:rPr>
        <w:t>Уредбу</w:t>
      </w:r>
      <w:r w:rsidR="00230432" w:rsidRPr="002A063A">
        <w:rPr>
          <w:lang w:val="sr-Cyrl-CS"/>
        </w:rPr>
        <w:t xml:space="preserve"> Влад</w:t>
      </w:r>
      <w:r w:rsidR="00A15A62">
        <w:rPr>
          <w:lang w:val="sr-Cyrl-CS"/>
        </w:rPr>
        <w:t>е</w:t>
      </w:r>
      <w:r w:rsidR="00230432" w:rsidRPr="002A063A">
        <w:rPr>
          <w:lang w:val="sr-Cyrl-CS"/>
        </w:rPr>
        <w:t xml:space="preserve"> Републике Србије</w:t>
      </w:r>
      <w:r w:rsidRPr="002A063A">
        <w:rPr>
          <w:lang w:val="sr-Cyrl-CS"/>
        </w:rPr>
        <w:t xml:space="preserve"> о привременој обустави припадајућег дела пореза на зараде, односа преноса трансферних средстава из буџета Републике Србије локалној самоуправи </w:t>
      </w:r>
      <w:r w:rsidR="00230432" w:rsidRPr="002A063A">
        <w:rPr>
          <w:lang w:val="sr-Cyrl-CS"/>
        </w:rPr>
        <w:t xml:space="preserve">која је донета </w:t>
      </w:r>
      <w:r w:rsidRPr="002A063A">
        <w:rPr>
          <w:lang w:val="sr-Cyrl-CS"/>
        </w:rPr>
        <w:t>5. јуна 2013. године. Овом Уредбом се уређује поступак привремене обуставе припадајућег дела пореза на зараде, односа преноса трансферних средстава из буџета Републике Србије локалној самоуправи у случајевима да се зараде не исплаћују, или да се не спроводи политика запошљавања у складу са утврђеним</w:t>
      </w:r>
      <w:r w:rsidRPr="002F3F26">
        <w:rPr>
          <w:lang w:val="sr-Cyrl-CS"/>
        </w:rPr>
        <w:t xml:space="preserve"> програмима јавних предузећа, односно ако се установи да нису испоштовани рокови за измирење обавеза према привредним субјектима утврђени законом којим се уређују рокови измирења новчаних обавеза у комерцијалним трансакцијама.</w:t>
      </w:r>
    </w:p>
    <w:p w:rsidR="00523D3D" w:rsidRPr="002F3F26" w:rsidRDefault="00523D3D" w:rsidP="008730A0">
      <w:pPr>
        <w:ind w:firstLine="720"/>
        <w:jc w:val="both"/>
        <w:rPr>
          <w:lang w:val="sr-Cyrl-CS"/>
        </w:rPr>
      </w:pPr>
    </w:p>
    <w:p w:rsidR="00AD5CF1" w:rsidRDefault="00AD5CF1" w:rsidP="008730A0">
      <w:pPr>
        <w:spacing w:after="240"/>
        <w:jc w:val="center"/>
        <w:rPr>
          <w:b/>
          <w:lang w:val="sr-Cyrl-CS"/>
        </w:rPr>
      </w:pPr>
    </w:p>
    <w:p w:rsidR="000C1732" w:rsidRPr="002F3F26" w:rsidRDefault="000C1732" w:rsidP="008730A0">
      <w:pPr>
        <w:spacing w:after="240"/>
        <w:jc w:val="center"/>
        <w:rPr>
          <w:b/>
          <w:lang w:val="sr-Cyrl-CS"/>
        </w:rPr>
      </w:pPr>
      <w:r w:rsidRPr="002F3F26">
        <w:rPr>
          <w:b/>
          <w:lang w:val="sr-Cyrl-CS"/>
        </w:rPr>
        <w:lastRenderedPageBreak/>
        <w:t xml:space="preserve">Пројекција основних макроекономских показатеља Републике Србије преузета из Фискалне стратегије за </w:t>
      </w:r>
      <w:r w:rsidR="000A2C9E">
        <w:rPr>
          <w:b/>
          <w:lang w:val="sr-Cyrl-CS"/>
        </w:rPr>
        <w:t>201</w:t>
      </w:r>
      <w:r w:rsidR="000A2C9E">
        <w:rPr>
          <w:b/>
        </w:rPr>
        <w:t>7</w:t>
      </w:r>
      <w:r w:rsidR="000A2C9E">
        <w:rPr>
          <w:b/>
          <w:lang w:val="sr-Cyrl-CS"/>
        </w:rPr>
        <w:t>. са пројекцијама за 201</w:t>
      </w:r>
      <w:r w:rsidR="000A2C9E">
        <w:rPr>
          <w:b/>
        </w:rPr>
        <w:t>8</w:t>
      </w:r>
      <w:r w:rsidR="000D1428">
        <w:rPr>
          <w:b/>
          <w:lang w:val="sr-Cyrl-CS"/>
        </w:rPr>
        <w:t>. и 201</w:t>
      </w:r>
      <w:r w:rsidR="000A2C9E">
        <w:rPr>
          <w:b/>
        </w:rPr>
        <w:t>9</w:t>
      </w:r>
      <w:r w:rsidRPr="002F3F26">
        <w:rPr>
          <w:b/>
          <w:lang w:val="sr-Cyrl-CS"/>
        </w:rPr>
        <w:t>.г.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1"/>
        <w:gridCol w:w="1341"/>
        <w:gridCol w:w="1134"/>
        <w:gridCol w:w="1276"/>
      </w:tblGrid>
      <w:tr w:rsidR="00254517" w:rsidRPr="002F3F26" w:rsidTr="00254517">
        <w:trPr>
          <w:trHeight w:val="276"/>
        </w:trPr>
        <w:tc>
          <w:tcPr>
            <w:tcW w:w="4721" w:type="dxa"/>
            <w:vMerge w:val="restart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254517" w:rsidRPr="002F3F26" w:rsidRDefault="00623DCF" w:rsidP="008730A0">
            <w:pPr>
              <w:jc w:val="center"/>
            </w:pPr>
            <w:r>
              <w:rPr>
                <w:lang w:val="sr-Cyrl-CS"/>
              </w:rPr>
              <w:t>Процена</w:t>
            </w:r>
            <w:r w:rsidR="00C236A2" w:rsidRPr="002F3F26">
              <w:t>.</w:t>
            </w:r>
          </w:p>
          <w:p w:rsidR="00757FB8" w:rsidRPr="002F3F26" w:rsidRDefault="00757FB8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201</w:t>
            </w:r>
            <w:r w:rsidR="000A2C9E">
              <w:t>7</w:t>
            </w:r>
            <w:r w:rsidR="008205FA" w:rsidRPr="002F3F26">
              <w:rPr>
                <w:lang w:val="sr-Cyrl-CS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54517" w:rsidRPr="002F3F26" w:rsidRDefault="00254517" w:rsidP="008730A0">
            <w:pPr>
              <w:jc w:val="center"/>
            </w:pPr>
            <w:r w:rsidRPr="002F3F26">
              <w:rPr>
                <w:lang w:val="sr-Cyrl-CS"/>
              </w:rPr>
              <w:t>Пројекц</w:t>
            </w:r>
            <w:r w:rsidR="00C236A2" w:rsidRPr="002F3F26">
              <w:t>.</w:t>
            </w:r>
          </w:p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201</w:t>
            </w:r>
            <w:r w:rsidR="000A2C9E">
              <w:t>8</w:t>
            </w:r>
            <w:r w:rsidRPr="002F3F26">
              <w:rPr>
                <w:lang w:val="sr-Cyrl-C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Пројекц.</w:t>
            </w:r>
          </w:p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201</w:t>
            </w:r>
            <w:r w:rsidR="000A2C9E">
              <w:t>9</w:t>
            </w:r>
            <w:r w:rsidRPr="002F3F26">
              <w:rPr>
                <w:lang w:val="sr-Cyrl-CS"/>
              </w:rPr>
              <w:t>.</w:t>
            </w:r>
          </w:p>
        </w:tc>
      </w:tr>
      <w:tr w:rsidR="00254517" w:rsidRPr="002F3F26" w:rsidTr="00254517">
        <w:trPr>
          <w:trHeight w:val="276"/>
        </w:trPr>
        <w:tc>
          <w:tcPr>
            <w:tcW w:w="4721" w:type="dxa"/>
            <w:vMerge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341" w:type="dxa"/>
            <w:vMerge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БДП, годишње стопе реалног раста, %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623DCF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2F3F26" w:rsidRDefault="000A2C9E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2F3F26" w:rsidRDefault="00623DCF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Реални раст појединих компоненти БДП, %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Лична потрошња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623DCF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2,9</w:t>
            </w: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Државна потрошња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623DCF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</w:t>
            </w:r>
            <w:r w:rsidR="006C7A62">
              <w:rPr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2F3F26" w:rsidRDefault="000A2C9E" w:rsidP="008730A0">
            <w:pPr>
              <w:jc w:val="center"/>
              <w:rPr>
                <w:lang w:val="sr-Cyrl-CS"/>
              </w:rPr>
            </w:pPr>
            <w:r>
              <w:t>2,3</w:t>
            </w: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Инвестиције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D61A06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4,9</w:t>
            </w:r>
          </w:p>
        </w:tc>
      </w:tr>
      <w:tr w:rsidR="00254517" w:rsidRPr="002F3F26" w:rsidTr="00A25B78">
        <w:tc>
          <w:tcPr>
            <w:tcW w:w="4721" w:type="dxa"/>
            <w:vAlign w:val="center"/>
          </w:tcPr>
          <w:p w:rsidR="00254517" w:rsidRPr="002F3F26" w:rsidRDefault="00D61A06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Инфлација, просек</w:t>
            </w:r>
            <w:r w:rsidR="00254517" w:rsidRPr="002F3F26">
              <w:rPr>
                <w:lang w:val="sr-Cyrl-CS"/>
              </w:rPr>
              <w:t xml:space="preserve"> периода, у %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54517" w:rsidRPr="002F3F26" w:rsidRDefault="00D61A06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17" w:rsidRPr="000A2C9E" w:rsidRDefault="000A2C9E" w:rsidP="008730A0">
            <w:pPr>
              <w:jc w:val="center"/>
            </w:pPr>
            <w:r>
              <w:t>3,0</w:t>
            </w:r>
          </w:p>
        </w:tc>
      </w:tr>
    </w:tbl>
    <w:p w:rsidR="0026688E" w:rsidRPr="002F3F26" w:rsidRDefault="0026688E" w:rsidP="008730A0">
      <w:pPr>
        <w:jc w:val="center"/>
        <w:rPr>
          <w:b/>
          <w:lang w:val="sr-Cyrl-CS"/>
        </w:rPr>
      </w:pP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FF2232" w:rsidRPr="002F3F26" w:rsidRDefault="00A25B78" w:rsidP="008730A0">
      <w:pPr>
        <w:jc w:val="center"/>
        <w:rPr>
          <w:b/>
        </w:rPr>
      </w:pPr>
      <w:r w:rsidRPr="002F3F26">
        <w:rPr>
          <w:b/>
          <w:lang w:val="sr-Cyrl-CS"/>
        </w:rPr>
        <w:t>СМЕРНИЦЕ ЗА ПРИПРЕМУ БУЏЕТА</w:t>
      </w:r>
    </w:p>
    <w:p w:rsidR="00FF2232" w:rsidRPr="002F3F26" w:rsidRDefault="00A25B78" w:rsidP="008730A0">
      <w:pPr>
        <w:jc w:val="center"/>
        <w:rPr>
          <w:b/>
        </w:rPr>
      </w:pPr>
      <w:r w:rsidRPr="002F3F26">
        <w:rPr>
          <w:b/>
          <w:lang w:val="sr-Cyrl-CS"/>
        </w:rPr>
        <w:t>ОПШТИНЕ ГОРЊИ М</w:t>
      </w:r>
      <w:r>
        <w:rPr>
          <w:b/>
          <w:lang w:val="sr-Cyrl-CS"/>
        </w:rPr>
        <w:t>ИЛАНОВАЦ ЗА 201</w:t>
      </w:r>
      <w:r>
        <w:rPr>
          <w:b/>
        </w:rPr>
        <w:t>8</w:t>
      </w:r>
      <w:r w:rsidRPr="002F3F26">
        <w:rPr>
          <w:b/>
          <w:lang w:val="sr-Cyrl-CS"/>
        </w:rPr>
        <w:t>. ГОДИНУ</w:t>
      </w:r>
    </w:p>
    <w:p w:rsidR="00F253F0" w:rsidRPr="002F3F26" w:rsidRDefault="00F253F0" w:rsidP="008730A0">
      <w:pPr>
        <w:jc w:val="center"/>
        <w:rPr>
          <w:b/>
        </w:rPr>
      </w:pPr>
    </w:p>
    <w:p w:rsidR="00FF2232" w:rsidRPr="003051F7" w:rsidRDefault="00FF2232" w:rsidP="008730A0">
      <w:pPr>
        <w:ind w:firstLine="720"/>
        <w:jc w:val="both"/>
      </w:pPr>
      <w:r w:rsidRPr="002F3F26">
        <w:rPr>
          <w:lang w:val="sr-Cyrl-CS"/>
        </w:rPr>
        <w:t>Сагледавајући</w:t>
      </w:r>
      <w:r w:rsidR="000F491C" w:rsidRPr="002F3F26">
        <w:rPr>
          <w:lang w:val="sr-Cyrl-CS"/>
        </w:rPr>
        <w:t xml:space="preserve"> привредна кретања </w:t>
      </w:r>
      <w:r w:rsidR="00B511C2">
        <w:rPr>
          <w:lang w:val="sr-Cyrl-CS"/>
        </w:rPr>
        <w:t>у 201</w:t>
      </w:r>
      <w:r w:rsidR="00B511C2">
        <w:t>7</w:t>
      </w:r>
      <w:r w:rsidR="005078F0" w:rsidRPr="002F3F26">
        <w:rPr>
          <w:lang w:val="sr-Cyrl-CS"/>
        </w:rPr>
        <w:t xml:space="preserve">. години, </w:t>
      </w:r>
      <w:r w:rsidR="00442145" w:rsidRPr="002F3F26">
        <w:rPr>
          <w:lang w:val="sr-Cyrl-CS"/>
        </w:rPr>
        <w:t xml:space="preserve">полазећи од тога да </w:t>
      </w:r>
      <w:r w:rsidR="003051F7">
        <w:t xml:space="preserve">je </w:t>
      </w:r>
      <w:r w:rsidR="003051F7">
        <w:rPr>
          <w:lang w:val="sr-Cyrl-CS"/>
        </w:rPr>
        <w:t>Фискалн</w:t>
      </w:r>
      <w:r w:rsidR="003051F7">
        <w:t>oм</w:t>
      </w:r>
      <w:r w:rsidR="003051F7">
        <w:rPr>
          <w:lang w:val="sr-Cyrl-CS"/>
        </w:rPr>
        <w:t xml:space="preserve"> стратегиј</w:t>
      </w:r>
      <w:r w:rsidR="003051F7">
        <w:t>oм</w:t>
      </w:r>
      <w:r w:rsidR="003051F7" w:rsidRPr="002F3F26">
        <w:rPr>
          <w:lang w:val="sr-Cyrl-CS"/>
        </w:rPr>
        <w:t xml:space="preserve"> за 201</w:t>
      </w:r>
      <w:r w:rsidR="003051F7">
        <w:t>7</w:t>
      </w:r>
      <w:r w:rsidR="003051F7" w:rsidRPr="002F3F26">
        <w:rPr>
          <w:lang w:val="sr-Cyrl-CS"/>
        </w:rPr>
        <w:t>. годину са пројекцијама за 201</w:t>
      </w:r>
      <w:r w:rsidR="003051F7">
        <w:t>8</w:t>
      </w:r>
      <w:r w:rsidR="003051F7" w:rsidRPr="002F3F26">
        <w:rPr>
          <w:lang w:val="sr-Cyrl-CS"/>
        </w:rPr>
        <w:t>. и 201</w:t>
      </w:r>
      <w:r w:rsidR="003051F7">
        <w:t>9</w:t>
      </w:r>
      <w:r w:rsidR="003051F7" w:rsidRPr="002F3F26">
        <w:rPr>
          <w:lang w:val="sr-Cyrl-CS"/>
        </w:rPr>
        <w:t xml:space="preserve">. </w:t>
      </w:r>
      <w:r w:rsidR="00871E46">
        <w:t>г</w:t>
      </w:r>
      <w:r w:rsidR="003051F7" w:rsidRPr="002F3F26">
        <w:rPr>
          <w:lang w:val="sr-Cyrl-CS"/>
        </w:rPr>
        <w:t>одину</w:t>
      </w:r>
      <w:r w:rsidR="003051F7">
        <w:t xml:space="preserve"> предвиђено да ће у 2018. години стопа </w:t>
      </w:r>
      <w:r w:rsidR="003051F7">
        <w:rPr>
          <w:lang w:val="sr-Cyrl-CS"/>
        </w:rPr>
        <w:t>реалног</w:t>
      </w:r>
      <w:r w:rsidR="000F491C" w:rsidRPr="002F3F26">
        <w:rPr>
          <w:lang w:val="sr-Cyrl-CS"/>
        </w:rPr>
        <w:t xml:space="preserve"> раст</w:t>
      </w:r>
      <w:r w:rsidR="00F532F9" w:rsidRPr="002F3F26">
        <w:rPr>
          <w:lang w:val="sr-Cyrl-CS"/>
        </w:rPr>
        <w:t>а</w:t>
      </w:r>
      <w:r w:rsidR="000F491C" w:rsidRPr="002F3F26">
        <w:rPr>
          <w:lang w:val="sr-Cyrl-CS"/>
        </w:rPr>
        <w:t xml:space="preserve"> БДП</w:t>
      </w:r>
      <w:r w:rsidR="00F532F9" w:rsidRPr="002F3F26">
        <w:rPr>
          <w:lang w:val="sr-Cyrl-CS"/>
        </w:rPr>
        <w:t>-а</w:t>
      </w:r>
      <w:r w:rsidR="00E859CC">
        <w:rPr>
          <w:lang w:val="sr-Cyrl-CS"/>
        </w:rPr>
        <w:t xml:space="preserve"> износити </w:t>
      </w:r>
      <w:r w:rsidR="00B511C2">
        <w:t>3,5</w:t>
      </w:r>
      <w:r w:rsidR="00E859CC">
        <w:rPr>
          <w:lang w:val="sr-Cyrl-CS"/>
        </w:rPr>
        <w:t>%</w:t>
      </w:r>
      <w:r w:rsidR="00F532F9" w:rsidRPr="002F3F26">
        <w:rPr>
          <w:lang w:val="sr-Cyrl-CS"/>
        </w:rPr>
        <w:t>,</w:t>
      </w:r>
      <w:r w:rsidR="000F491C" w:rsidRPr="002F3F26">
        <w:rPr>
          <w:lang w:val="sr-Cyrl-CS"/>
        </w:rPr>
        <w:t xml:space="preserve"> </w:t>
      </w:r>
      <w:r w:rsidR="005078F0" w:rsidRPr="002F3F26">
        <w:rPr>
          <w:lang w:val="sr-Cyrl-CS"/>
        </w:rPr>
        <w:t xml:space="preserve">као и раст потрошачких цена од </w:t>
      </w:r>
      <w:r w:rsidR="00B511C2">
        <w:t>3,0</w:t>
      </w:r>
      <w:r w:rsidR="005078F0" w:rsidRPr="002F3F26">
        <w:rPr>
          <w:lang w:val="sr-Cyrl-CS"/>
        </w:rPr>
        <w:t>%</w:t>
      </w:r>
      <w:r w:rsidR="004C5807" w:rsidRPr="002F3F26">
        <w:rPr>
          <w:lang w:val="sr-Cyrl-CS"/>
        </w:rPr>
        <w:t>,</w:t>
      </w:r>
      <w:r w:rsidR="00CB1F4F" w:rsidRPr="002F3F26">
        <w:rPr>
          <w:lang w:val="sr-Cyrl-CS"/>
        </w:rPr>
        <w:t xml:space="preserve"> ниво упослености у привреди и јавном сектору,</w:t>
      </w:r>
      <w:r w:rsidRPr="002F3F26">
        <w:rPr>
          <w:lang w:val="sr-Cyrl-CS"/>
        </w:rPr>
        <w:t xml:space="preserve"> а сагласно одредбама члана 40. Закона о буџетском </w:t>
      </w:r>
      <w:r w:rsidR="006D0F12" w:rsidRPr="002F3F26">
        <w:rPr>
          <w:lang w:val="sr-Cyrl-CS"/>
        </w:rPr>
        <w:t>систему</w:t>
      </w:r>
      <w:r w:rsidRPr="002F3F26">
        <w:rPr>
          <w:lang w:val="sr-Cyrl-CS"/>
        </w:rPr>
        <w:t>, буџетски корисници општине Горњи Милановац су у обавези да се при изради предлога финансијског плана за 20</w:t>
      </w:r>
      <w:r w:rsidR="00CB1F4F" w:rsidRPr="002F3F26">
        <w:rPr>
          <w:lang w:val="sr-Cyrl-CS"/>
        </w:rPr>
        <w:t>1</w:t>
      </w:r>
      <w:r w:rsidR="004A2C11">
        <w:t>8</w:t>
      </w:r>
      <w:r w:rsidRPr="002F3F26">
        <w:rPr>
          <w:lang w:val="sr-Cyrl-CS"/>
        </w:rPr>
        <w:t>. годину придржавају  следећег:</w:t>
      </w:r>
    </w:p>
    <w:p w:rsidR="00FF2232" w:rsidRPr="002F3F26" w:rsidRDefault="00FF2232" w:rsidP="008730A0">
      <w:pPr>
        <w:ind w:firstLine="720"/>
        <w:jc w:val="both"/>
        <w:rPr>
          <w:lang w:val="sr-Cyrl-CS"/>
        </w:rPr>
      </w:pPr>
    </w:p>
    <w:p w:rsidR="00FF2232" w:rsidRPr="002F3F26" w:rsidRDefault="00FF2232" w:rsidP="008730A0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t xml:space="preserve">  </w:t>
      </w:r>
      <w:r w:rsidRPr="002F3F26">
        <w:rPr>
          <w:lang w:val="sr-Cyrl-CS"/>
        </w:rPr>
        <w:tab/>
        <w:t>1.  Основ политике планирања прихода и расхода</w:t>
      </w:r>
      <w:r w:rsidR="00E85B61">
        <w:t xml:space="preserve"> за 2018. годину</w:t>
      </w:r>
      <w:r w:rsidR="00E85B61" w:rsidRPr="002F3F26">
        <w:rPr>
          <w:lang w:val="sr-Cyrl-CS"/>
        </w:rPr>
        <w:t xml:space="preserve"> </w:t>
      </w:r>
      <w:r w:rsidRPr="002F3F26">
        <w:rPr>
          <w:lang w:val="sr-Cyrl-CS"/>
        </w:rPr>
        <w:t xml:space="preserve">мора бити у складу са реалним пројекцијама буџета општине </w:t>
      </w:r>
      <w:r w:rsidR="005078F0" w:rsidRPr="002F3F26">
        <w:rPr>
          <w:lang w:val="sr-Cyrl-CS"/>
        </w:rPr>
        <w:t xml:space="preserve">за </w:t>
      </w:r>
      <w:r w:rsidRPr="002F3F26">
        <w:rPr>
          <w:lang w:val="sr-Cyrl-CS"/>
        </w:rPr>
        <w:t>20</w:t>
      </w:r>
      <w:r w:rsidR="00216111">
        <w:rPr>
          <w:lang w:val="sr-Cyrl-CS"/>
        </w:rPr>
        <w:t>1</w:t>
      </w:r>
      <w:r w:rsidR="00216111">
        <w:t>7</w:t>
      </w:r>
      <w:r w:rsidRPr="002F3F26">
        <w:rPr>
          <w:lang w:val="sr-Cyrl-CS"/>
        </w:rPr>
        <w:t>. годину.</w:t>
      </w:r>
    </w:p>
    <w:p w:rsidR="00FF2232" w:rsidRPr="002F3F26" w:rsidRDefault="00FF2232" w:rsidP="008730A0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t xml:space="preserve"> </w:t>
      </w:r>
      <w:r w:rsidRPr="002F3F26">
        <w:rPr>
          <w:lang w:val="sr-Cyrl-CS"/>
        </w:rPr>
        <w:tab/>
        <w:t>2. При изради предлога финансијских планова за 20</w:t>
      </w:r>
      <w:r w:rsidR="00CB1F4F" w:rsidRPr="002F3F26">
        <w:rPr>
          <w:lang w:val="sr-Cyrl-CS"/>
        </w:rPr>
        <w:t>1</w:t>
      </w:r>
      <w:r w:rsidR="00216111">
        <w:t>8</w:t>
      </w:r>
      <w:r w:rsidRPr="002F3F26">
        <w:rPr>
          <w:lang w:val="sr-Cyrl-CS"/>
        </w:rPr>
        <w:t>. годину, корисници буџета треба да планирају расходе и издатке до нивоа утврђених овим Упу</w:t>
      </w:r>
      <w:r w:rsidR="00A15A62">
        <w:rPr>
          <w:lang w:val="sr-Cyrl-CS"/>
        </w:rPr>
        <w:t xml:space="preserve">тством, водећи рачуна при томе </w:t>
      </w:r>
      <w:r w:rsidRPr="002F3F26">
        <w:rPr>
          <w:lang w:val="sr-Cyrl-CS"/>
        </w:rPr>
        <w:t xml:space="preserve">уговореним обавезама и </w:t>
      </w:r>
      <w:r w:rsidR="00A15A62" w:rsidRPr="002F3F26">
        <w:rPr>
          <w:lang w:val="sr-Cyrl-CS"/>
        </w:rPr>
        <w:t>донетим  одлукама</w:t>
      </w:r>
      <w:r w:rsidRPr="002F3F26">
        <w:rPr>
          <w:lang w:val="sr-Cyrl-CS"/>
        </w:rPr>
        <w:t xml:space="preserve"> од стране Скупштине општине, односно надлежног органа општине Горњи Милановац.</w:t>
      </w:r>
    </w:p>
    <w:p w:rsidR="00221D41" w:rsidRDefault="00FF2232" w:rsidP="008730A0">
      <w:pPr>
        <w:ind w:firstLine="360"/>
        <w:jc w:val="both"/>
      </w:pPr>
      <w:r w:rsidRPr="002F3F26">
        <w:rPr>
          <w:lang w:val="sr-Cyrl-CS"/>
        </w:rPr>
        <w:t xml:space="preserve"> </w:t>
      </w:r>
      <w:r w:rsidRPr="002F3F26">
        <w:rPr>
          <w:lang w:val="sr-Cyrl-CS"/>
        </w:rPr>
        <w:tab/>
        <w:t>3. Ради сагледавања могућности буџета општине Горњи Милановац за 20</w:t>
      </w:r>
      <w:r w:rsidR="00CB1F4F" w:rsidRPr="002F3F26">
        <w:rPr>
          <w:lang w:val="sr-Cyrl-CS"/>
        </w:rPr>
        <w:t>1</w:t>
      </w:r>
      <w:r w:rsidR="00216111">
        <w:t>8</w:t>
      </w:r>
      <w:r w:rsidRPr="002F3F26">
        <w:rPr>
          <w:lang w:val="sr-Cyrl-CS"/>
        </w:rPr>
        <w:t>. годину и наредне две године, даје се следећа пројекција прихода и примања</w:t>
      </w:r>
      <w:r w:rsidR="00CF6FB0">
        <w:t>:</w:t>
      </w:r>
    </w:p>
    <w:p w:rsidR="00CF6FB0" w:rsidRPr="00CF6FB0" w:rsidRDefault="00CF6FB0" w:rsidP="008730A0">
      <w:pPr>
        <w:ind w:firstLine="360"/>
        <w:jc w:val="both"/>
      </w:pPr>
    </w:p>
    <w:tbl>
      <w:tblPr>
        <w:tblpPr w:leftFromText="180" w:rightFromText="180" w:vertAnchor="text" w:horzAnchor="margin" w:tblpX="108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618"/>
        <w:gridCol w:w="1596"/>
        <w:gridCol w:w="1596"/>
        <w:gridCol w:w="1694"/>
        <w:gridCol w:w="1596"/>
      </w:tblGrid>
      <w:tr w:rsidR="0092706B" w:rsidRPr="002F3F26" w:rsidTr="008730A0">
        <w:trPr>
          <w:trHeight w:val="2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Екон.</w:t>
            </w:r>
          </w:p>
          <w:p w:rsidR="0092706B" w:rsidRPr="002F3F26" w:rsidRDefault="00707DFA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92706B" w:rsidRPr="002F3F26">
              <w:rPr>
                <w:lang w:val="sr-Cyrl-CS"/>
              </w:rPr>
              <w:t>лас.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Опис прихода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</w:pPr>
            <w:r w:rsidRPr="002F3F26">
              <w:t>Процена</w:t>
            </w:r>
          </w:p>
        </w:tc>
        <w:tc>
          <w:tcPr>
            <w:tcW w:w="4886" w:type="dxa"/>
            <w:gridSpan w:val="3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</w:pPr>
            <w:r w:rsidRPr="002F3F26">
              <w:t>Пројекција</w:t>
            </w:r>
          </w:p>
        </w:tc>
      </w:tr>
      <w:tr w:rsidR="00F368EE" w:rsidRPr="002F3F26" w:rsidTr="008730A0">
        <w:trPr>
          <w:trHeight w:val="231"/>
        </w:trPr>
        <w:tc>
          <w:tcPr>
            <w:tcW w:w="789" w:type="dxa"/>
            <w:vMerge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</w:pPr>
            <w:r w:rsidRPr="002F3F26">
              <w:t>201</w:t>
            </w:r>
            <w:r w:rsidR="00034C96"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034C96" w:rsidRDefault="0092706B" w:rsidP="008730A0">
            <w:pPr>
              <w:jc w:val="center"/>
            </w:pPr>
            <w:r w:rsidRPr="002F3F26">
              <w:rPr>
                <w:lang w:val="sr-Cyrl-CS"/>
              </w:rPr>
              <w:t>201</w:t>
            </w:r>
            <w:r w:rsidR="00034C96">
              <w:t>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034C96" w:rsidRDefault="0092706B" w:rsidP="008730A0">
            <w:pPr>
              <w:jc w:val="center"/>
            </w:pPr>
            <w:r w:rsidRPr="002F3F26">
              <w:rPr>
                <w:lang w:val="sr-Cyrl-CS"/>
              </w:rPr>
              <w:t>201</w:t>
            </w:r>
            <w:r w:rsidR="00034C96"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034C96" w:rsidRDefault="0092706B" w:rsidP="008730A0">
            <w:pPr>
              <w:jc w:val="center"/>
            </w:pPr>
            <w:r w:rsidRPr="002F3F26">
              <w:rPr>
                <w:lang w:val="sr-Cyrl-CS"/>
              </w:rPr>
              <w:t>20</w:t>
            </w:r>
            <w:r w:rsidR="00034C96">
              <w:t>20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711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Поре</w:t>
            </w:r>
            <w:r w:rsidR="00F368EE">
              <w:rPr>
                <w:bCs/>
                <w:lang w:val="ru-RU"/>
              </w:rPr>
              <w:t xml:space="preserve">з на доходак, добит и капит. </w:t>
            </w:r>
            <w:r w:rsidRPr="002F3F26">
              <w:rPr>
                <w:bCs/>
                <w:lang w:val="ru-RU"/>
              </w:rPr>
              <w:t>добитке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592.884.000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54B52" w:rsidRDefault="00CE75E6" w:rsidP="008730A0">
            <w:pPr>
              <w:jc w:val="right"/>
            </w:pPr>
            <w:r w:rsidRPr="00354B52">
              <w:t>6</w:t>
            </w:r>
            <w:r w:rsidR="00354B52" w:rsidRPr="00354B52">
              <w:t>39</w:t>
            </w:r>
            <w:r w:rsidR="00631765">
              <w:t>.6</w:t>
            </w:r>
            <w:r w:rsidRPr="00354B52">
              <w:t>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707DFA" w:rsidRDefault="00707DFA" w:rsidP="008730A0">
            <w:pPr>
              <w:jc w:val="right"/>
            </w:pPr>
            <w:r>
              <w:t>6</w:t>
            </w:r>
            <w:r w:rsidR="00B445FC">
              <w:t>4</w:t>
            </w:r>
            <w:r w:rsidR="003202B1">
              <w:t>0</w:t>
            </w:r>
            <w:r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B445FC" w:rsidP="008730A0">
            <w:pPr>
              <w:jc w:val="right"/>
            </w:pPr>
            <w:r>
              <w:t>65</w:t>
            </w:r>
            <w:r w:rsidR="003202B1">
              <w:t>0.000.000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713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</w:rPr>
              <w:t>Порез на имовину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204.000.000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54B52" w:rsidRDefault="00CE75E6" w:rsidP="008730A0">
            <w:pPr>
              <w:jc w:val="right"/>
            </w:pPr>
            <w:r w:rsidRPr="00354B52">
              <w:t>20</w:t>
            </w:r>
            <w:r w:rsidR="00354B52" w:rsidRPr="00354B52">
              <w:t>8</w:t>
            </w:r>
            <w:r w:rsidRPr="00354B52">
              <w:t>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707DFA" w:rsidRDefault="00707DFA" w:rsidP="008730A0">
            <w:pPr>
              <w:jc w:val="right"/>
            </w:pPr>
            <w:r>
              <w:t>210.000.000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215.000.000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714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Порез на добра и услуге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36.600.000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CE75E6" w:rsidRDefault="00354B52" w:rsidP="008730A0">
            <w:pPr>
              <w:jc w:val="right"/>
            </w:pPr>
            <w:r>
              <w:t>38.5</w:t>
            </w:r>
            <w:r w:rsidR="00CE75E6">
              <w:t>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707DFA" w:rsidRDefault="00B445FC" w:rsidP="008730A0">
            <w:pPr>
              <w:jc w:val="right"/>
            </w:pPr>
            <w:r>
              <w:t>39</w:t>
            </w:r>
            <w:r w:rsidR="00707DFA"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40.000.000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716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lang w:val="ru-RU"/>
              </w:rPr>
              <w:t>Други порези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22.000.000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CE75E6" w:rsidRDefault="00CE75E6" w:rsidP="008730A0">
            <w:pPr>
              <w:jc w:val="right"/>
            </w:pPr>
            <w:r>
              <w:t>22.000.000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707DFA" w:rsidRDefault="00707DFA" w:rsidP="008730A0">
            <w:pPr>
              <w:jc w:val="right"/>
            </w:pPr>
            <w:r>
              <w:t>22.000.000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22.000.000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730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</w:rPr>
              <w:t>Донације и трансфери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231.797.000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CE75E6" w:rsidRDefault="00CE75E6" w:rsidP="008730A0">
            <w:pPr>
              <w:jc w:val="right"/>
            </w:pPr>
            <w:r>
              <w:t>2</w:t>
            </w:r>
            <w:r w:rsidR="000D69E6">
              <w:t>25</w:t>
            </w:r>
            <w:r>
              <w:t>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A20CBA" w:rsidRDefault="000D69E6" w:rsidP="008730A0">
            <w:pPr>
              <w:jc w:val="right"/>
            </w:pPr>
            <w:r>
              <w:t>225</w:t>
            </w:r>
            <w:r w:rsidR="00A20CBA"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0D69E6" w:rsidP="008730A0">
            <w:pPr>
              <w:jc w:val="right"/>
            </w:pPr>
            <w:r>
              <w:t>22</w:t>
            </w:r>
            <w:r w:rsidR="003202B1">
              <w:t>5.000.000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741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</w:rPr>
              <w:t>Приходи од имовине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66.500.00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CE75E6" w:rsidRDefault="00304B5D" w:rsidP="008730A0">
            <w:pPr>
              <w:jc w:val="right"/>
            </w:pPr>
            <w:r>
              <w:t>7</w:t>
            </w:r>
            <w:r w:rsidR="00354B52">
              <w:t>2.084</w:t>
            </w:r>
            <w:r w:rsidR="00CE75E6">
              <w:t>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7</w:t>
            </w:r>
            <w:r w:rsidR="00B445FC">
              <w:t>3</w:t>
            </w:r>
            <w:r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7</w:t>
            </w:r>
            <w:r w:rsidR="00304B5D">
              <w:t>4</w:t>
            </w:r>
            <w:r>
              <w:t>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742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Приходи од продаје добара и услуга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94.983.000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CE75E6" w:rsidRDefault="006B53CD" w:rsidP="008730A0">
            <w:pPr>
              <w:jc w:val="right"/>
            </w:pPr>
            <w:r>
              <w:t>75</w:t>
            </w:r>
            <w:r w:rsidR="00CE75E6">
              <w:t>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1F3945" w:rsidP="008730A0">
            <w:pPr>
              <w:jc w:val="right"/>
            </w:pPr>
            <w:r>
              <w:t>7</w:t>
            </w:r>
            <w:r w:rsidR="003202B1">
              <w:t>7.000.000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1F3945" w:rsidP="008730A0">
            <w:pPr>
              <w:jc w:val="right"/>
            </w:pPr>
            <w:r>
              <w:t>8</w:t>
            </w:r>
            <w:r w:rsidR="003202B1">
              <w:t>0.000.000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743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 xml:space="preserve">Новчане казне и одузета </w:t>
            </w:r>
            <w:r w:rsidR="00F368EE">
              <w:rPr>
                <w:bCs/>
                <w:lang w:val="ru-RU"/>
              </w:rPr>
              <w:t>имовин</w:t>
            </w:r>
            <w:r w:rsidRPr="002F3F26">
              <w:rPr>
                <w:bCs/>
                <w:lang w:val="ru-RU"/>
              </w:rPr>
              <w:t xml:space="preserve"> корист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15.400.000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145C71" w:rsidRDefault="006B53CD" w:rsidP="008730A0">
            <w:pPr>
              <w:jc w:val="right"/>
            </w:pPr>
            <w:r>
              <w:t>16</w:t>
            </w:r>
            <w:r w:rsidR="00145C71">
              <w:t>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1</w:t>
            </w:r>
            <w:r w:rsidR="001F3945">
              <w:t>6</w:t>
            </w:r>
            <w:r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1</w:t>
            </w:r>
            <w:r w:rsidR="001F3945">
              <w:t>6</w:t>
            </w:r>
            <w:r>
              <w:t>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lastRenderedPageBreak/>
              <w:t>744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Доброво</w:t>
            </w:r>
            <w:r w:rsidRPr="002F3F26">
              <w:rPr>
                <w:bCs/>
                <w:lang w:val="sr-Cyrl-CS"/>
              </w:rPr>
              <w:t>љ</w:t>
            </w:r>
            <w:r w:rsidR="00F368EE">
              <w:rPr>
                <w:bCs/>
                <w:lang w:val="ru-RU"/>
              </w:rPr>
              <w:t>ни трансфер од физ.</w:t>
            </w:r>
            <w:r w:rsidRPr="002F3F26">
              <w:rPr>
                <w:bCs/>
                <w:lang w:val="ru-RU"/>
              </w:rPr>
              <w:t xml:space="preserve"> и правних лица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18.150.000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145C71" w:rsidRDefault="00145C71" w:rsidP="008730A0">
            <w:pPr>
              <w:jc w:val="right"/>
            </w:pPr>
            <w:r>
              <w:t>20.000.000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22.000.000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25.000.000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745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t>Мешовити и неодређени приходи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11.300.000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145C71" w:rsidRDefault="00145C71" w:rsidP="008730A0">
            <w:pPr>
              <w:jc w:val="right"/>
            </w:pPr>
            <w:r>
              <w:t>11.000.000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11.000.000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11.000.000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770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Меморандумске ставке за рефундацију расход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600.000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145C71" w:rsidRDefault="00145C71" w:rsidP="008730A0">
            <w:pPr>
              <w:jc w:val="right"/>
            </w:pPr>
            <w:r>
              <w:t>600.000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500.000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500.000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810</w:t>
            </w:r>
          </w:p>
        </w:tc>
        <w:tc>
          <w:tcPr>
            <w:tcW w:w="2618" w:type="dxa"/>
            <w:shd w:val="clear" w:color="auto" w:fill="auto"/>
            <w:vAlign w:val="bottom"/>
          </w:tcPr>
          <w:p w:rsidR="0092706B" w:rsidRPr="002F3F26" w:rsidRDefault="0092706B" w:rsidP="008730A0">
            <w:r w:rsidRPr="002F3F26">
              <w:rPr>
                <w:bCs/>
                <w:lang w:val="ru-RU"/>
              </w:rPr>
              <w:t>Примања од продаје основних средстава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F368EE" w:rsidP="008730A0">
            <w:pPr>
              <w:jc w:val="right"/>
            </w:pPr>
            <w:r>
              <w:t>1.500.000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145C71" w:rsidRDefault="00145C71" w:rsidP="008730A0">
            <w:pPr>
              <w:jc w:val="right"/>
            </w:pPr>
            <w:r>
              <w:t>1.500.000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1.600.000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3202B1" w:rsidRDefault="003202B1" w:rsidP="008730A0">
            <w:pPr>
              <w:jc w:val="right"/>
            </w:pPr>
            <w:r>
              <w:t>2.000.000</w:t>
            </w:r>
          </w:p>
        </w:tc>
      </w:tr>
      <w:tr w:rsidR="00F368EE" w:rsidRPr="002F3F26" w:rsidTr="008730A0">
        <w:tc>
          <w:tcPr>
            <w:tcW w:w="789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91</w:t>
            </w:r>
          </w:p>
        </w:tc>
        <w:tc>
          <w:tcPr>
            <w:tcW w:w="2618" w:type="dxa"/>
            <w:shd w:val="clear" w:color="auto" w:fill="auto"/>
          </w:tcPr>
          <w:p w:rsidR="0092706B" w:rsidRPr="002F3F26" w:rsidRDefault="0092706B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Примања од задуживања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F368EE" w:rsidP="008730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145C71" w:rsidP="008730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2F3F26" w:rsidRDefault="003202B1" w:rsidP="008730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92706B" w:rsidP="008730A0">
            <w:pPr>
              <w:jc w:val="right"/>
              <w:rPr>
                <w:lang w:val="sr-Cyrl-CS"/>
              </w:rPr>
            </w:pPr>
          </w:p>
        </w:tc>
      </w:tr>
      <w:tr w:rsidR="0092706B" w:rsidRPr="002F3F26" w:rsidTr="008730A0">
        <w:tc>
          <w:tcPr>
            <w:tcW w:w="3407" w:type="dxa"/>
            <w:gridSpan w:val="2"/>
            <w:shd w:val="clear" w:color="auto" w:fill="auto"/>
          </w:tcPr>
          <w:p w:rsidR="0092706B" w:rsidRPr="002F3F26" w:rsidRDefault="0092706B" w:rsidP="008730A0">
            <w:pPr>
              <w:jc w:val="both"/>
              <w:rPr>
                <w:b/>
                <w:lang w:val="sr-Cyrl-CS"/>
              </w:rPr>
            </w:pPr>
            <w:r w:rsidRPr="002F3F26">
              <w:rPr>
                <w:lang w:val="sr-Cyrl-CS"/>
              </w:rPr>
              <w:t xml:space="preserve">                         </w:t>
            </w:r>
            <w:r w:rsidRPr="002F3F26">
              <w:rPr>
                <w:b/>
                <w:lang w:val="sr-Cyrl-CS"/>
              </w:rPr>
              <w:t>СВЕГА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92706B" w:rsidRPr="00F368EE" w:rsidRDefault="00F368EE" w:rsidP="008730A0">
            <w:pPr>
              <w:jc w:val="right"/>
            </w:pPr>
            <w:r>
              <w:t>1.295.713.000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92706B" w:rsidRPr="00F368EE" w:rsidRDefault="007704AE" w:rsidP="008730A0">
            <w:pPr>
              <w:jc w:val="right"/>
            </w:pPr>
            <w:r>
              <w:t>1.</w:t>
            </w:r>
            <w:r w:rsidR="00631765">
              <w:t>329.2</w:t>
            </w:r>
            <w:r w:rsidR="00354B52">
              <w:t>84</w:t>
            </w:r>
            <w:r w:rsidR="00F368EE">
              <w:t>.000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9D0DAF" w:rsidRPr="00F368EE" w:rsidRDefault="007704AE" w:rsidP="008730A0">
            <w:pPr>
              <w:jc w:val="right"/>
            </w:pPr>
            <w:r>
              <w:t>1.</w:t>
            </w:r>
            <w:r w:rsidR="001F3945">
              <w:t>3</w:t>
            </w:r>
            <w:r w:rsidR="00B445FC">
              <w:t>37</w:t>
            </w:r>
            <w:r w:rsidR="00115269">
              <w:t>.</w:t>
            </w:r>
            <w:r w:rsidR="00B445FC">
              <w:t>1</w:t>
            </w:r>
            <w:r w:rsidR="00115269">
              <w:t>00</w:t>
            </w:r>
            <w:r w:rsidR="00F368EE">
              <w:t>.00</w:t>
            </w:r>
            <w:r w:rsidR="000C4DB8">
              <w:t>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92706B" w:rsidRPr="00F368EE" w:rsidRDefault="00E859CC" w:rsidP="008730A0">
            <w:pPr>
              <w:jc w:val="right"/>
            </w:pPr>
            <w:r>
              <w:t>1.</w:t>
            </w:r>
            <w:r w:rsidR="00B655A1">
              <w:t>3</w:t>
            </w:r>
            <w:r w:rsidR="00B445FC">
              <w:t>6</w:t>
            </w:r>
            <w:r w:rsidR="001F3945">
              <w:t>0</w:t>
            </w:r>
            <w:r w:rsidR="00115269">
              <w:t>.500</w:t>
            </w:r>
            <w:r w:rsidR="00F368EE">
              <w:t>.000</w:t>
            </w:r>
          </w:p>
        </w:tc>
      </w:tr>
    </w:tbl>
    <w:p w:rsidR="00704425" w:rsidRPr="002F3F26" w:rsidRDefault="00704425" w:rsidP="008730A0">
      <w:pPr>
        <w:ind w:firstLine="360"/>
        <w:jc w:val="both"/>
      </w:pPr>
      <w:r w:rsidRPr="002F3F26">
        <w:t xml:space="preserve">                                                     </w:t>
      </w:r>
    </w:p>
    <w:p w:rsidR="00944D27" w:rsidRPr="002F3F26" w:rsidRDefault="005D5D14" w:rsidP="008730A0">
      <w:pPr>
        <w:rPr>
          <w:lang w:val="sr-Cyrl-CS"/>
        </w:rPr>
      </w:pPr>
      <w:r w:rsidRPr="002F3F26">
        <w:t xml:space="preserve">                                                                                                    </w:t>
      </w:r>
      <w:r w:rsidR="00FF2232" w:rsidRPr="002F3F26">
        <w:rPr>
          <w:lang w:val="sr-Cyrl-CS"/>
        </w:rPr>
        <w:t xml:space="preserve"> </w:t>
      </w:r>
    </w:p>
    <w:p w:rsidR="00FF2232" w:rsidRPr="002F3F26" w:rsidRDefault="00FF2232" w:rsidP="008730A0">
      <w:pPr>
        <w:spacing w:after="120"/>
        <w:ind w:firstLine="720"/>
        <w:jc w:val="both"/>
        <w:rPr>
          <w:lang w:val="sr-Cyrl-CS"/>
        </w:rPr>
      </w:pPr>
      <w:r w:rsidRPr="002F3F26">
        <w:rPr>
          <w:lang w:val="sr-Cyrl-CS"/>
        </w:rPr>
        <w:t>4. Планирање расхода за плате и накнаде запослених у складу са колективним уговором (плате, отпремнине, превоз, социјална давања и др.), треба вршити крајње рационално.</w:t>
      </w:r>
    </w:p>
    <w:p w:rsidR="00FF2232" w:rsidRPr="002F3F26" w:rsidRDefault="00FF2232" w:rsidP="008730A0">
      <w:pPr>
        <w:spacing w:after="120"/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5. Расходе по основу куповине роба и услуга треба планирати на нивоу </w:t>
      </w:r>
      <w:r w:rsidR="00297EE6" w:rsidRPr="002F3F26">
        <w:rPr>
          <w:lang w:val="sr-Cyrl-CS"/>
        </w:rPr>
        <w:t>201</w:t>
      </w:r>
      <w:r w:rsidR="00402FDA">
        <w:t>7</w:t>
      </w:r>
      <w:r w:rsidR="00297EE6" w:rsidRPr="002F3F26">
        <w:rPr>
          <w:lang w:val="sr-Cyrl-CS"/>
        </w:rPr>
        <w:t>. године</w:t>
      </w:r>
      <w:r w:rsidRPr="002F3F26">
        <w:rPr>
          <w:lang w:val="sr-Cyrl-CS"/>
        </w:rPr>
        <w:t xml:space="preserve"> (ограничења услуге репрезентације, поклона, службених путовања, контрола дневница, фикс</w:t>
      </w:r>
      <w:r w:rsidR="000848E2" w:rsidRPr="002F3F26">
        <w:rPr>
          <w:lang w:val="sr-Cyrl-CS"/>
        </w:rPr>
        <w:t>не  и мобилне телефоније и др.) и они се могу планирати само ако су у функцији обављања изворних и поверених послова у складу са Законом односно актом оснивача</w:t>
      </w:r>
      <w:r w:rsidR="00CB2FB7" w:rsidRPr="002F3F26">
        <w:rPr>
          <w:lang w:val="sr-Cyrl-CS"/>
        </w:rPr>
        <w:t>.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6. Набавка роба и услуга и капитална улагања (зграде, опрема) морају бити у складу са Законом  о јавним набавкама. У 201</w:t>
      </w:r>
      <w:r w:rsidR="00402FDA">
        <w:t>8</w:t>
      </w:r>
      <w:r w:rsidRPr="002F3F26">
        <w:rPr>
          <w:lang w:val="sr-Cyrl-CS"/>
        </w:rPr>
        <w:t>.  години расходи на терет буџета неће се извршавати уколико не постоји план јавних набавки.</w:t>
      </w:r>
    </w:p>
    <w:p w:rsidR="00FF2232" w:rsidRDefault="00FF2232" w:rsidP="008730A0">
      <w:pPr>
        <w:jc w:val="both"/>
      </w:pPr>
      <w:r w:rsidRPr="002F3F26">
        <w:rPr>
          <w:lang w:val="sr-Cyrl-CS"/>
        </w:rPr>
        <w:tab/>
      </w:r>
    </w:p>
    <w:p w:rsidR="00CF6FB0" w:rsidRPr="00CF6FB0" w:rsidRDefault="00CF6FB0" w:rsidP="008730A0">
      <w:pPr>
        <w:jc w:val="both"/>
      </w:pPr>
    </w:p>
    <w:p w:rsidR="00FF2232" w:rsidRPr="002F3F26" w:rsidRDefault="00FF2232" w:rsidP="008730A0">
      <w:pPr>
        <w:ind w:firstLine="720"/>
        <w:jc w:val="both"/>
        <w:rPr>
          <w:b/>
          <w:u w:val="single"/>
          <w:lang w:val="sr-Cyrl-CS"/>
        </w:rPr>
      </w:pPr>
      <w:r w:rsidRPr="002F3F26">
        <w:rPr>
          <w:b/>
          <w:u w:val="single"/>
          <w:lang w:val="sr-Cyrl-CS"/>
        </w:rPr>
        <w:t>Преглед обима средстава</w:t>
      </w:r>
    </w:p>
    <w:p w:rsidR="00FF2232" w:rsidRPr="002F3F26" w:rsidRDefault="00FF2232" w:rsidP="008730A0">
      <w:pPr>
        <w:jc w:val="both"/>
        <w:rPr>
          <w:lang w:val="sr-Cyrl-CS"/>
        </w:rPr>
      </w:pPr>
    </w:p>
    <w:p w:rsidR="00944D27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40. тачка 4. Закона о буџетском систему</w:t>
      </w:r>
      <w:r w:rsidR="0077488C" w:rsidRPr="002F3F26">
        <w:rPr>
          <w:lang w:val="sr-Cyrl-CS"/>
        </w:rPr>
        <w:t>.</w:t>
      </w:r>
    </w:p>
    <w:p w:rsidR="002677C9" w:rsidRPr="002F3F26" w:rsidRDefault="002677C9" w:rsidP="008730A0">
      <w:pPr>
        <w:jc w:val="both"/>
        <w:rPr>
          <w:lang w:val="sr-Cyrl-CS"/>
        </w:rPr>
      </w:pP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Лимити расхода за буџетске кориснике</w:t>
      </w:r>
      <w:r w:rsidR="00E250FC" w:rsidRPr="002F3F26">
        <w:rPr>
          <w:lang w:val="sr-Cyrl-CS"/>
        </w:rPr>
        <w:t xml:space="preserve"> општине Горњи Милановац за 201</w:t>
      </w:r>
      <w:r w:rsidR="003D21A9">
        <w:t>8</w:t>
      </w:r>
      <w:r w:rsidRPr="002F3F26">
        <w:rPr>
          <w:lang w:val="sr-Cyrl-CS"/>
        </w:rPr>
        <w:t xml:space="preserve">. годину, дати су на бази сагледавања потребних средстава за рад и функционисање буџетских корисника, </w:t>
      </w:r>
      <w:r w:rsidR="00907757" w:rsidRPr="002F3F26">
        <w:rPr>
          <w:lang w:val="sr-Cyrl-CS"/>
        </w:rPr>
        <w:t>створених</w:t>
      </w:r>
      <w:r w:rsidRPr="002F3F26">
        <w:rPr>
          <w:lang w:val="sr-Cyrl-CS"/>
        </w:rPr>
        <w:t xml:space="preserve"> обавеза и могућности смањења појединих расхода у оквиру директних и </w:t>
      </w:r>
      <w:r w:rsidR="00E250FC" w:rsidRPr="002F3F26">
        <w:rPr>
          <w:lang w:val="sr-Cyrl-CS"/>
        </w:rPr>
        <w:t>индиректних буџетских корисника, као и најављених законских прописа од стране Владе Републике Србије</w:t>
      </w:r>
      <w:r w:rsidR="006E54FF">
        <w:rPr>
          <w:lang w:val="sr-Cyrl-CS"/>
        </w:rPr>
        <w:t>,</w:t>
      </w:r>
      <w:r w:rsidR="00E250FC" w:rsidRPr="002F3F26">
        <w:rPr>
          <w:lang w:val="sr-Cyrl-CS"/>
        </w:rPr>
        <w:t xml:space="preserve"> а које ће бити у смислу растерећења привреде, односно смањења појединих јавних прихода.</w:t>
      </w:r>
    </w:p>
    <w:p w:rsidR="001D06E3" w:rsidRPr="002F3F26" w:rsidRDefault="001D06E3" w:rsidP="008730A0">
      <w:pPr>
        <w:jc w:val="both"/>
        <w:rPr>
          <w:lang w:val="sr-Cyrl-CS"/>
        </w:rPr>
      </w:pPr>
    </w:p>
    <w:p w:rsidR="00F253F0" w:rsidRPr="002F3F26" w:rsidRDefault="00F253F0" w:rsidP="008730A0">
      <w:pPr>
        <w:ind w:firstLine="720"/>
        <w:rPr>
          <w:lang w:val="en-GB"/>
        </w:rPr>
      </w:pPr>
    </w:p>
    <w:p w:rsidR="00944D27" w:rsidRPr="002F3F26" w:rsidRDefault="0026688E" w:rsidP="008730A0">
      <w:pPr>
        <w:spacing w:after="120"/>
        <w:ind w:firstLine="720"/>
        <w:jc w:val="center"/>
        <w:rPr>
          <w:b/>
          <w:lang w:val="sr-Cyrl-CS"/>
        </w:rPr>
      </w:pPr>
      <w:r w:rsidRPr="002F3F26">
        <w:rPr>
          <w:b/>
          <w:lang w:val="sr-Cyrl-CS"/>
        </w:rPr>
        <w:t>Преглед лимита укупних расхода буџетских корисника</w:t>
      </w:r>
      <w:r w:rsidRPr="002F3F26">
        <w:rPr>
          <w:b/>
        </w:rPr>
        <w:t xml:space="preserve"> </w:t>
      </w:r>
      <w:r w:rsidR="003D21A9">
        <w:rPr>
          <w:b/>
          <w:lang w:val="sr-Cyrl-CS"/>
        </w:rPr>
        <w:t>у 201</w:t>
      </w:r>
      <w:r w:rsidR="003D21A9">
        <w:rPr>
          <w:b/>
        </w:rPr>
        <w:t>8, 2019 и 2020</w:t>
      </w:r>
      <w:r w:rsidR="009C7D9C">
        <w:rPr>
          <w:b/>
        </w:rPr>
        <w:t>.</w:t>
      </w:r>
      <w:r w:rsidRPr="002F3F26">
        <w:rPr>
          <w:b/>
        </w:rPr>
        <w:t xml:space="preserve">  </w:t>
      </w:r>
      <w:r w:rsidRPr="002F3F26">
        <w:rPr>
          <w:b/>
          <w:lang w:val="sr-Cyrl-CS"/>
        </w:rPr>
        <w:t>из извора финансирања 01 – приходи из буџета</w:t>
      </w:r>
    </w:p>
    <w:p w:rsidR="00FF37B7" w:rsidRPr="002F3F26" w:rsidRDefault="00FF37B7" w:rsidP="008730A0">
      <w:pPr>
        <w:spacing w:after="120"/>
        <w:ind w:firstLine="720"/>
        <w:jc w:val="center"/>
        <w:rPr>
          <w:lang w:val="sr-Cyrl-CS"/>
        </w:rPr>
      </w:pPr>
      <w:r w:rsidRPr="002F3F26">
        <w:rPr>
          <w:lang w:val="sr-Cyrl-CS"/>
        </w:rPr>
        <w:t xml:space="preserve">                                  </w:t>
      </w:r>
      <w:r w:rsidR="00B9490D" w:rsidRPr="002F3F26">
        <w:rPr>
          <w:lang w:val="sr-Cyrl-CS"/>
        </w:rPr>
        <w:t xml:space="preserve">                                                               </w:t>
      </w:r>
      <w:r w:rsidRPr="002F3F26">
        <w:rPr>
          <w:lang w:val="sr-Cyrl-CS"/>
        </w:rPr>
        <w:t xml:space="preserve">   </w:t>
      </w:r>
      <w:r w:rsidR="00671D02">
        <w:rPr>
          <w:lang w:val="sr-Cyrl-CS"/>
        </w:rPr>
        <w:t xml:space="preserve">          </w:t>
      </w:r>
      <w:r w:rsidR="00B9490D" w:rsidRPr="002F3F26">
        <w:rPr>
          <w:lang w:val="sr-Cyrl-CS"/>
        </w:rPr>
        <w:t>(</w:t>
      </w:r>
      <w:r w:rsidR="005A0164">
        <w:rPr>
          <w:lang w:val="sr-Cyrl-CS"/>
        </w:rPr>
        <w:t xml:space="preserve">у 000 </w:t>
      </w:r>
      <w:r w:rsidRPr="002F3F26">
        <w:rPr>
          <w:lang w:val="sr-Cyrl-CS"/>
        </w:rPr>
        <w:t>дин</w:t>
      </w:r>
      <w:r w:rsidR="00B9490D" w:rsidRPr="002F3F26">
        <w:rPr>
          <w:lang w:val="sr-Cyrl-CS"/>
        </w:rPr>
        <w:t>)</w:t>
      </w:r>
    </w:p>
    <w:tbl>
      <w:tblPr>
        <w:tblW w:w="9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275"/>
        <w:gridCol w:w="1276"/>
        <w:gridCol w:w="1276"/>
        <w:gridCol w:w="1275"/>
      </w:tblGrid>
      <w:tr w:rsidR="00902BD3" w:rsidRPr="002F3F26" w:rsidTr="008730A0">
        <w:trPr>
          <w:trHeight w:val="3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Р.б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БУЏЕТСКИ КОРИСНИК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2BD3" w:rsidRPr="005D0F6A" w:rsidRDefault="00902BD3" w:rsidP="00873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Осн б</w:t>
            </w:r>
            <w:r w:rsidRPr="005D0F6A">
              <w:rPr>
                <w:b/>
                <w:sz w:val="20"/>
                <w:szCs w:val="20"/>
              </w:rPr>
              <w:t xml:space="preserve">уџет </w:t>
            </w:r>
          </w:p>
          <w:p w:rsidR="00902BD3" w:rsidRPr="004D6696" w:rsidRDefault="00902BD3" w:rsidP="00873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Pr="005D0F6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Укупни лимити из буџета</w:t>
            </w:r>
          </w:p>
        </w:tc>
      </w:tr>
      <w:tr w:rsidR="00902BD3" w:rsidRPr="002F3F26" w:rsidTr="008730A0">
        <w:trPr>
          <w:trHeight w:val="260"/>
        </w:trPr>
        <w:tc>
          <w:tcPr>
            <w:tcW w:w="567" w:type="dxa"/>
            <w:vMerge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2BD3" w:rsidRPr="00302F7B" w:rsidRDefault="00902BD3" w:rsidP="008730A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02BD3" w:rsidRPr="009D748A" w:rsidRDefault="00902BD3" w:rsidP="008730A0">
            <w:pPr>
              <w:jc w:val="center"/>
              <w:rPr>
                <w:b/>
              </w:rPr>
            </w:pPr>
            <w:r>
              <w:rPr>
                <w:b/>
              </w:rPr>
              <w:t>2018.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BD3" w:rsidRPr="00302F7B" w:rsidRDefault="00902BD3" w:rsidP="008730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F3F26">
              <w:rPr>
                <w:b/>
                <w:lang w:val="sr-Cyrl-CS"/>
              </w:rPr>
              <w:t>.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BD3" w:rsidRPr="00302F7B" w:rsidRDefault="00902BD3" w:rsidP="008730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F3F26">
              <w:rPr>
                <w:b/>
                <w:lang w:val="sr-Cyrl-CS"/>
              </w:rPr>
              <w:t>. год</w:t>
            </w:r>
          </w:p>
        </w:tc>
      </w:tr>
      <w:tr w:rsidR="000158AB" w:rsidRPr="002F3F26" w:rsidTr="008730A0">
        <w:tc>
          <w:tcPr>
            <w:tcW w:w="567" w:type="dxa"/>
            <w:shd w:val="clear" w:color="auto" w:fill="auto"/>
            <w:vAlign w:val="center"/>
          </w:tcPr>
          <w:p w:rsidR="000158AB" w:rsidRPr="002F3F26" w:rsidRDefault="000158A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1.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58AB" w:rsidRPr="002F3F26" w:rsidRDefault="000158AB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Скупштина општине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5D0F6A" w:rsidRDefault="000158AB" w:rsidP="008730A0">
            <w:pPr>
              <w:jc w:val="right"/>
            </w:pPr>
            <w:r>
              <w:t>13.930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14.080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14.100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695C7D" w:rsidRDefault="001F71F2" w:rsidP="008730A0">
            <w:pPr>
              <w:jc w:val="right"/>
            </w:pPr>
            <w:r>
              <w:t>15.000</w:t>
            </w:r>
          </w:p>
        </w:tc>
      </w:tr>
      <w:tr w:rsidR="000158AB" w:rsidRPr="002F3F26" w:rsidTr="008730A0">
        <w:tc>
          <w:tcPr>
            <w:tcW w:w="567" w:type="dxa"/>
            <w:shd w:val="clear" w:color="auto" w:fill="auto"/>
            <w:vAlign w:val="center"/>
          </w:tcPr>
          <w:p w:rsidR="000158AB" w:rsidRPr="002F3F26" w:rsidRDefault="000158A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58AB" w:rsidRPr="002F3F26" w:rsidRDefault="000158AB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Председник општине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5D0F6A" w:rsidRDefault="000158AB" w:rsidP="008730A0">
            <w:pPr>
              <w:jc w:val="right"/>
            </w:pPr>
            <w:r>
              <w:t>113,710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124.402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125.000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12</w:t>
            </w:r>
            <w:r w:rsidR="001F71F2">
              <w:t>6</w:t>
            </w:r>
            <w:r>
              <w:t>.</w:t>
            </w:r>
            <w:r w:rsidR="001F71F2">
              <w:t>000</w:t>
            </w:r>
          </w:p>
        </w:tc>
      </w:tr>
      <w:tr w:rsidR="000158AB" w:rsidRPr="002F3F26" w:rsidTr="008730A0">
        <w:tc>
          <w:tcPr>
            <w:tcW w:w="567" w:type="dxa"/>
            <w:shd w:val="clear" w:color="auto" w:fill="auto"/>
            <w:vAlign w:val="center"/>
          </w:tcPr>
          <w:p w:rsidR="000158AB" w:rsidRPr="002F3F26" w:rsidRDefault="000158AB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3.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158AB" w:rsidRPr="002F3F26" w:rsidRDefault="000158AB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Општинско веће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5D0F6A" w:rsidRDefault="000158AB" w:rsidP="008730A0">
            <w:pPr>
              <w:jc w:val="right"/>
            </w:pPr>
            <w:r>
              <w:t>3.300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3.500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8AB" w:rsidRPr="00695C7D" w:rsidRDefault="000158AB" w:rsidP="008730A0">
            <w:pPr>
              <w:jc w:val="right"/>
            </w:pPr>
            <w:r>
              <w:t>3.500</w:t>
            </w:r>
          </w:p>
        </w:tc>
      </w:tr>
      <w:tr w:rsidR="00902BD3" w:rsidRPr="002F3F26" w:rsidTr="008730A0">
        <w:tc>
          <w:tcPr>
            <w:tcW w:w="567" w:type="dxa"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lastRenderedPageBreak/>
              <w:t>4.</w:t>
            </w:r>
            <w:r>
              <w:rPr>
                <w:lang w:val="sr-Cyrl-CS"/>
              </w:rPr>
              <w:t>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02BD3" w:rsidRPr="009C1225" w:rsidRDefault="00902BD3" w:rsidP="008730A0">
            <w:pPr>
              <w:rPr>
                <w:b/>
                <w:lang w:val="sr-Cyrl-CS"/>
              </w:rPr>
            </w:pPr>
            <w:r w:rsidRPr="009C1225">
              <w:rPr>
                <w:b/>
                <w:lang w:val="sr-Cyrl-CS"/>
              </w:rPr>
              <w:t>Општинска управа,</w:t>
            </w:r>
          </w:p>
          <w:p w:rsidR="00902BD3" w:rsidRPr="009C1225" w:rsidRDefault="00902BD3" w:rsidP="008730A0">
            <w:pPr>
              <w:rPr>
                <w:b/>
                <w:lang w:val="sr-Cyrl-CS"/>
              </w:rPr>
            </w:pPr>
            <w:r w:rsidRPr="009C1225">
              <w:rPr>
                <w:b/>
                <w:lang w:val="sr-Cyrl-CS"/>
              </w:rPr>
              <w:t>Програм 15 - Локална самоуправа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BD3" w:rsidRPr="009C1225" w:rsidRDefault="00902BD3" w:rsidP="008730A0">
            <w:pPr>
              <w:jc w:val="right"/>
              <w:rPr>
                <w:b/>
              </w:rPr>
            </w:pPr>
            <w:r w:rsidRPr="009C1225">
              <w:rPr>
                <w:b/>
              </w:rPr>
              <w:t>318.870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BD3" w:rsidRPr="009C1225" w:rsidRDefault="00213C22" w:rsidP="008730A0">
            <w:pPr>
              <w:jc w:val="right"/>
              <w:rPr>
                <w:b/>
              </w:rPr>
            </w:pPr>
            <w:r>
              <w:rPr>
                <w:b/>
              </w:rPr>
              <w:t>331.739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BD3" w:rsidRPr="009C1225" w:rsidRDefault="00213C22" w:rsidP="008730A0">
            <w:pPr>
              <w:jc w:val="right"/>
              <w:rPr>
                <w:b/>
              </w:rPr>
            </w:pPr>
            <w:r>
              <w:rPr>
                <w:b/>
              </w:rPr>
              <w:t>334.000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BD3" w:rsidRPr="009C1225" w:rsidRDefault="00213C22" w:rsidP="008730A0">
            <w:pPr>
              <w:jc w:val="right"/>
              <w:rPr>
                <w:b/>
              </w:rPr>
            </w:pPr>
            <w:r>
              <w:rPr>
                <w:b/>
              </w:rPr>
              <w:t>347.000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center"/>
              <w:rPr>
                <w:i/>
                <w:lang w:val="sr-Cyrl-CS"/>
              </w:rPr>
            </w:pPr>
            <w:r w:rsidRPr="009C1225">
              <w:rPr>
                <w:i/>
                <w:lang w:val="sr-Cyrl-CS"/>
              </w:rPr>
              <w:t>4.01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9C1225" w:rsidRDefault="001F71F2" w:rsidP="008730A0">
            <w:pPr>
              <w:rPr>
                <w:i/>
                <w:lang w:val="sr-Cyrl-CS"/>
              </w:rPr>
            </w:pPr>
            <w:r w:rsidRPr="009C1225">
              <w:rPr>
                <w:i/>
                <w:lang w:val="sr-Cyrl-CS"/>
              </w:rPr>
              <w:t xml:space="preserve">Општинска управа, Програм 15 – Лок самоуправа, функ - опште услуге                     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C1225" w:rsidRDefault="001F71F2" w:rsidP="008730A0">
            <w:pPr>
              <w:rPr>
                <w:i/>
              </w:rPr>
            </w:pPr>
            <w:r>
              <w:rPr>
                <w:i/>
              </w:rPr>
              <w:t>204.870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 w:rsidRPr="009C1225">
              <w:rPr>
                <w:i/>
              </w:rPr>
              <w:t>215.220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>
              <w:rPr>
                <w:i/>
              </w:rPr>
              <w:t>217</w:t>
            </w:r>
            <w:r w:rsidRPr="009C1225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9C1225">
              <w:rPr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>
              <w:rPr>
                <w:i/>
              </w:rPr>
              <w:t>217</w:t>
            </w:r>
            <w:r w:rsidRPr="009C1225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9C1225">
              <w:rPr>
                <w:i/>
              </w:rPr>
              <w:t>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center"/>
              <w:rPr>
                <w:i/>
                <w:lang w:val="sr-Cyrl-CS"/>
              </w:rPr>
            </w:pPr>
            <w:r w:rsidRPr="009C1225">
              <w:rPr>
                <w:i/>
                <w:lang w:val="sr-Cyrl-CS"/>
              </w:rPr>
              <w:t>4.02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9C1225" w:rsidRDefault="001F71F2" w:rsidP="008730A0">
            <w:pPr>
              <w:rPr>
                <w:i/>
                <w:lang w:val="sr-Cyrl-CS"/>
              </w:rPr>
            </w:pPr>
            <w:r w:rsidRPr="009C1225">
              <w:rPr>
                <w:i/>
                <w:lang w:val="sr-Cyrl-CS"/>
              </w:rPr>
              <w:t>Општинска управа, Програм 15 – Лок самоуправа, функ - Развој заједн</w:t>
            </w:r>
            <w:r>
              <w:rPr>
                <w:i/>
                <w:lang w:val="sr-Cyrl-CS"/>
              </w:rPr>
              <w:t>.</w:t>
            </w:r>
            <w:r w:rsidRPr="009C1225">
              <w:rPr>
                <w:i/>
                <w:lang w:val="sr-Cyrl-CS"/>
              </w:rPr>
              <w:t xml:space="preserve">                   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C1225" w:rsidRDefault="001F71F2" w:rsidP="008730A0">
            <w:pPr>
              <w:rPr>
                <w:i/>
              </w:rPr>
            </w:pPr>
            <w:r>
              <w:rPr>
                <w:i/>
              </w:rPr>
              <w:t>114.000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>
              <w:rPr>
                <w:i/>
              </w:rPr>
              <w:t>116.519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>
              <w:rPr>
                <w:i/>
              </w:rPr>
              <w:t>117.000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C1225" w:rsidRDefault="001F71F2" w:rsidP="008730A0">
            <w:pPr>
              <w:jc w:val="right"/>
              <w:rPr>
                <w:i/>
              </w:rPr>
            </w:pPr>
            <w:r>
              <w:rPr>
                <w:i/>
              </w:rPr>
              <w:t>130.000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Општинска управа, </w:t>
            </w:r>
          </w:p>
          <w:p w:rsidR="001F71F2" w:rsidRPr="002F3F26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Програм 2 - Комунална делатност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517AEE" w:rsidRDefault="001F71F2" w:rsidP="008730A0">
            <w:pPr>
              <w:jc w:val="right"/>
            </w:pPr>
            <w:r>
              <w:t>79.310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3942D0" w:rsidRDefault="001F71F2" w:rsidP="008730A0">
            <w:pPr>
              <w:jc w:val="right"/>
            </w:pPr>
            <w:r>
              <w:t>78.622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3942D0" w:rsidRDefault="001F71F2" w:rsidP="008730A0">
            <w:pPr>
              <w:jc w:val="right"/>
            </w:pPr>
            <w:r>
              <w:t>80.000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3942D0" w:rsidRDefault="001F71F2" w:rsidP="008730A0">
            <w:pPr>
              <w:jc w:val="right"/>
            </w:pPr>
            <w:r>
              <w:t>80.190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Општинска управа</w:t>
            </w:r>
          </w:p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Програм 5 – Развој п</w:t>
            </w:r>
            <w:r w:rsidRPr="002F3F26">
              <w:rPr>
                <w:lang w:val="sr-Cyrl-CS"/>
              </w:rPr>
              <w:t>ољопривред</w:t>
            </w:r>
            <w:r>
              <w:rPr>
                <w:lang w:val="sr-Cyrl-CS"/>
              </w:rPr>
              <w:t>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517AEE" w:rsidRDefault="001F71F2" w:rsidP="008730A0">
            <w:pPr>
              <w:jc w:val="right"/>
            </w:pPr>
            <w:r>
              <w:t>50.000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50.000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Општинска управа,</w:t>
            </w:r>
          </w:p>
          <w:p w:rsidR="001F71F2" w:rsidRPr="002F3F26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Програм 6  -</w:t>
            </w:r>
            <w:r w:rsidRPr="002F3F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Заштита  </w:t>
            </w:r>
            <w:r w:rsidRPr="002F3F26">
              <w:rPr>
                <w:lang w:val="sr-Cyrl-CS"/>
              </w:rPr>
              <w:t>животне сред</w:t>
            </w:r>
            <w:r>
              <w:rPr>
                <w:lang w:val="sr-Cyrl-C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17.020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13.500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Општинска управа,</w:t>
            </w:r>
          </w:p>
          <w:p w:rsidR="001F71F2" w:rsidRPr="0065216A" w:rsidRDefault="001F71F2" w:rsidP="008730A0">
            <w:pPr>
              <w:rPr>
                <w:lang w:val="sr-Cyrl-CS"/>
              </w:rPr>
            </w:pPr>
            <w:r w:rsidRPr="0065216A">
              <w:rPr>
                <w:lang w:val="sr-Cyrl-CS"/>
              </w:rPr>
              <w:t xml:space="preserve">Програм 7 - </w:t>
            </w:r>
            <w:r>
              <w:rPr>
                <w:bCs/>
              </w:rPr>
              <w:t>О</w:t>
            </w:r>
            <w:r w:rsidRPr="0065216A">
              <w:rPr>
                <w:bCs/>
              </w:rPr>
              <w:t>рганизација саобр</w:t>
            </w:r>
            <w:r>
              <w:rPr>
                <w:bCs/>
              </w:rPr>
              <w:t>аћаја</w:t>
            </w:r>
            <w:r w:rsidRPr="0065216A">
              <w:rPr>
                <w:bCs/>
              </w:rPr>
              <w:t xml:space="preserve"> и саобраћајна инфраструктура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177.340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166.240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169.190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172.000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Општинска управа,</w:t>
            </w:r>
          </w:p>
          <w:p w:rsidR="001F71F2" w:rsidRDefault="001F71F2" w:rsidP="008730A0">
            <w:pPr>
              <w:rPr>
                <w:lang w:val="sr-Cyrl-CS"/>
              </w:rPr>
            </w:pPr>
            <w:r w:rsidRPr="0065216A">
              <w:rPr>
                <w:lang w:val="sr-Cyrl-CS"/>
              </w:rPr>
              <w:t xml:space="preserve">Програм </w:t>
            </w:r>
            <w:r>
              <w:rPr>
                <w:lang w:val="sr-Cyrl-CS"/>
              </w:rPr>
              <w:t>11- Социјална и дечја зашт.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17.700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25.941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26.000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26.000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4.</w:t>
            </w:r>
            <w:r>
              <w:rPr>
                <w:lang w:val="sr-Cyrl-CS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Фонд за заштиту животне средине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13.000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13.000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5.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Месне заједнице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8.473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9.966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9.800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9.800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6.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Дом здравља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10.000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34.750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34.750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34.750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9B12B1" w:rsidRDefault="001F71F2" w:rsidP="008730A0">
            <w:r>
              <w:t>Апотека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932282" w:rsidRDefault="001F71F2" w:rsidP="008730A0">
            <w:pPr>
              <w:jc w:val="right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6.000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6.000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6.000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2F3F26">
              <w:rPr>
                <w:lang w:val="sr-Cyrl-CS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Основно образовање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103.360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107.460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107.460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107.460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Средње образовање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32.000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32.000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32.000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Стипендије студената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8.000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8.000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Предшколска  установа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158.500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162.700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162.700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162.700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Центар за социјални рад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15.500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12.528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12.500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12.500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Културни центар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27.000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28.107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28.200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28.200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Библиотека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15.440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15.540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15.500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15.500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Музеј рудничко-таковског краја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21.800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22.589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22.600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22.600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Туристичка организација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7.100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7.500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7.500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7.500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ЈКП „Горњи Милановац“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30.000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30.000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ЈП „Рзав“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5.000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5.900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6.000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6.000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ЈП за изградњу општине Гор </w:t>
            </w:r>
            <w:r w:rsidRPr="002F3F26">
              <w:rPr>
                <w:lang w:val="sr-Cyrl-CS"/>
              </w:rPr>
              <w:t>Милан</w:t>
            </w:r>
            <w:r>
              <w:rPr>
                <w:lang w:val="sr-Cyrl-C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4.400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5.000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Установа „Спортско-рекреат. </w:t>
            </w:r>
            <w:r w:rsidRPr="002F3F26">
              <w:rPr>
                <w:lang w:val="sr-Cyrl-CS"/>
              </w:rPr>
              <w:t>центар“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16.500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17.300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17.300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17.300</w:t>
            </w:r>
          </w:p>
        </w:tc>
      </w:tr>
      <w:tr w:rsidR="001F71F2" w:rsidRPr="002F3F26" w:rsidTr="008730A0">
        <w:tc>
          <w:tcPr>
            <w:tcW w:w="567" w:type="dxa"/>
            <w:shd w:val="clear" w:color="auto" w:fill="auto"/>
            <w:vAlign w:val="center"/>
          </w:tcPr>
          <w:p w:rsidR="001F71F2" w:rsidRPr="002F3F26" w:rsidRDefault="001F71F2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F71F2" w:rsidRPr="002F3F26" w:rsidRDefault="001F71F2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Општинско правобранилаштво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1D1A81" w:rsidRDefault="001F71F2" w:rsidP="008730A0">
            <w:pPr>
              <w:jc w:val="right"/>
            </w:pPr>
            <w:r>
              <w:t>1.730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1F2" w:rsidRPr="00695C7D" w:rsidRDefault="001F71F2" w:rsidP="008730A0">
            <w:pPr>
              <w:jc w:val="right"/>
            </w:pPr>
            <w:r>
              <w:t>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1F2" w:rsidRPr="00695C7D" w:rsidRDefault="005F7DF8" w:rsidP="008730A0">
            <w:pPr>
              <w:jc w:val="right"/>
            </w:pPr>
            <w:r>
              <w:t>4.0</w:t>
            </w:r>
            <w:r w:rsidR="001F71F2">
              <w:t>00</w:t>
            </w:r>
          </w:p>
        </w:tc>
      </w:tr>
      <w:tr w:rsidR="00902BD3" w:rsidRPr="002F3F26" w:rsidTr="008730A0">
        <w:tc>
          <w:tcPr>
            <w:tcW w:w="4679" w:type="dxa"/>
            <w:gridSpan w:val="2"/>
            <w:shd w:val="clear" w:color="auto" w:fill="auto"/>
            <w:vAlign w:val="center"/>
          </w:tcPr>
          <w:p w:rsidR="00902BD3" w:rsidRPr="002F3F26" w:rsidRDefault="00902BD3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УКУПНО 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BD3" w:rsidRPr="002F3F26" w:rsidRDefault="00902BD3" w:rsidP="008730A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1.268.983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BD3" w:rsidRPr="002F3F26" w:rsidRDefault="00902BD3" w:rsidP="008730A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32</w:t>
            </w:r>
            <w:r w:rsidR="006C6B57">
              <w:rPr>
                <w:b/>
              </w:rPr>
              <w:t>9</w:t>
            </w:r>
            <w:r>
              <w:rPr>
                <w:b/>
                <w:lang w:val="sr-Cyrl-CS"/>
              </w:rPr>
              <w:t>.</w:t>
            </w:r>
            <w:r w:rsidR="006C6B57"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2BD3" w:rsidRPr="00FD3CCA" w:rsidRDefault="00FD3CCA" w:rsidP="008730A0">
            <w:pPr>
              <w:jc w:val="right"/>
              <w:rPr>
                <w:b/>
              </w:rPr>
            </w:pPr>
            <w:r w:rsidRPr="00FD3CCA">
              <w:rPr>
                <w:b/>
              </w:rPr>
              <w:t>1.337.100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2BD3" w:rsidRPr="00FD3CCA" w:rsidRDefault="00FD3CCA" w:rsidP="008730A0">
            <w:pPr>
              <w:jc w:val="right"/>
              <w:rPr>
                <w:b/>
              </w:rPr>
            </w:pPr>
            <w:r w:rsidRPr="00FD3CCA">
              <w:rPr>
                <w:b/>
              </w:rPr>
              <w:t>1.360.500</w:t>
            </w:r>
          </w:p>
        </w:tc>
      </w:tr>
    </w:tbl>
    <w:p w:rsidR="006E343E" w:rsidRPr="00CB6B47" w:rsidRDefault="006E343E" w:rsidP="008730A0">
      <w:pPr>
        <w:autoSpaceDE w:val="0"/>
        <w:autoSpaceDN w:val="0"/>
        <w:adjustRightInd w:val="0"/>
        <w:jc w:val="center"/>
        <w:rPr>
          <w:rFonts w:eastAsiaTheme="minorHAnsi"/>
          <w:bCs/>
          <w:lang w:val="sr-Cyrl-CS"/>
        </w:rPr>
      </w:pPr>
    </w:p>
    <w:p w:rsidR="002A063A" w:rsidRDefault="002A063A" w:rsidP="008730A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F0C62" w:rsidRPr="002F3F26" w:rsidRDefault="009E15B9" w:rsidP="008730A0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2F3F26">
        <w:rPr>
          <w:rFonts w:eastAsiaTheme="minorHAnsi"/>
          <w:b/>
          <w:bCs/>
          <w:lang w:val="sr-Cyrl-CS"/>
        </w:rPr>
        <w:t>П</w:t>
      </w:r>
      <w:r w:rsidRPr="002F3F26">
        <w:rPr>
          <w:rFonts w:eastAsiaTheme="minorHAnsi"/>
          <w:b/>
          <w:bCs/>
        </w:rPr>
        <w:t>оступак и динамика припреме буџета локалне власти и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 xml:space="preserve">предлога финансијских планова </w:t>
      </w:r>
      <w:r w:rsidRPr="002F3F26">
        <w:rPr>
          <w:rFonts w:eastAsiaTheme="minorHAnsi"/>
          <w:b/>
          <w:bCs/>
          <w:lang w:val="sr-Cyrl-CS"/>
        </w:rPr>
        <w:t xml:space="preserve"> к</w:t>
      </w:r>
      <w:r w:rsidRPr="002F3F26">
        <w:rPr>
          <w:rFonts w:eastAsiaTheme="minorHAnsi"/>
          <w:b/>
          <w:bCs/>
        </w:rPr>
        <w:t>орисника средстава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>буџета локалне власти</w:t>
      </w:r>
    </w:p>
    <w:p w:rsidR="003F0C62" w:rsidRPr="002F3F26" w:rsidRDefault="003F0C62" w:rsidP="008730A0">
      <w:pPr>
        <w:jc w:val="both"/>
        <w:rPr>
          <w:lang w:val="sr-Cyrl-CS"/>
        </w:rPr>
      </w:pPr>
    </w:p>
    <w:p w:rsidR="00872ECD" w:rsidRPr="002F3F26" w:rsidRDefault="00FF2232" w:rsidP="008730A0">
      <w:pPr>
        <w:ind w:firstLine="720"/>
        <w:jc w:val="both"/>
      </w:pPr>
      <w:r w:rsidRPr="002F3F26">
        <w:rPr>
          <w:lang w:val="sr-Cyrl-CS"/>
        </w:rPr>
        <w:t>Пр</w:t>
      </w:r>
      <w:r w:rsidR="0077488C" w:rsidRPr="002F3F26">
        <w:rPr>
          <w:lang w:val="sr-Cyrl-CS"/>
        </w:rPr>
        <w:t>едлог финаснијског плана за 201</w:t>
      </w:r>
      <w:r w:rsidR="004D7CA8">
        <w:t>8</w:t>
      </w:r>
      <w:r w:rsidRPr="002F3F26">
        <w:rPr>
          <w:lang w:val="sr-Cyrl-CS"/>
        </w:rPr>
        <w:t xml:space="preserve">. годину мора да представља процену финансијских потреба корисника буџетских средстава, као и извора средстава из којих ће се ове потребе финансирати. </w:t>
      </w:r>
    </w:p>
    <w:p w:rsidR="00872ECD" w:rsidRPr="002F3F26" w:rsidRDefault="00872ECD" w:rsidP="008730A0">
      <w:pPr>
        <w:ind w:firstLine="720"/>
        <w:jc w:val="both"/>
      </w:pPr>
    </w:p>
    <w:p w:rsidR="00872ECD" w:rsidRPr="002F3F26" w:rsidRDefault="00872ECD" w:rsidP="008730A0">
      <w:pPr>
        <w:ind w:firstLine="720"/>
        <w:jc w:val="both"/>
      </w:pPr>
      <w:r w:rsidRPr="002F3F26">
        <w:t>Корисници буџетских средстава израђују предлоге финансијских планова за буџетску годину са пројекцијама</w:t>
      </w:r>
      <w:r w:rsidR="006941DF" w:rsidRPr="002F3F26">
        <w:t xml:space="preserve"> за наредне две фискалне године</w:t>
      </w:r>
      <w:r w:rsidRPr="002F3F26">
        <w:t>, без обзира да ли се капитални пројекти уговарају фазно по годинама или корисник преузима обавезе по уговору који захтева плаћање у више година.</w:t>
      </w:r>
    </w:p>
    <w:p w:rsidR="00FF2232" w:rsidRPr="002F3F26" w:rsidRDefault="00FF2232" w:rsidP="008730A0">
      <w:pPr>
        <w:jc w:val="both"/>
        <w:rPr>
          <w:lang w:val="en-GB"/>
        </w:rPr>
      </w:pPr>
      <w:r w:rsidRPr="002F3F26">
        <w:rPr>
          <w:lang w:val="sr-Cyrl-CS"/>
        </w:rPr>
        <w:lastRenderedPageBreak/>
        <w:tab/>
        <w:t xml:space="preserve">Посебно  је важно да буџетски корисници у предлогу свог финансијског плана, осим буџетских,  искажу и </w:t>
      </w:r>
      <w:r w:rsidRPr="002F3F26">
        <w:rPr>
          <w:b/>
          <w:u w:val="single"/>
          <w:lang w:val="sr-Cyrl-CS"/>
        </w:rPr>
        <w:t>друге изворе финансирања</w:t>
      </w:r>
      <w:r w:rsidRPr="002F3F26">
        <w:rPr>
          <w:lang w:val="sr-Cyrl-CS"/>
        </w:rPr>
        <w:t xml:space="preserve"> (сопствени приходи, донације и сл.). Услов за коришћење остварених сопствених прихода за одређену намену биће да је расход планиран у буџету</w:t>
      </w:r>
      <w:r w:rsidR="002560B3" w:rsidRPr="002F3F26">
        <w:rPr>
          <w:lang w:val="en-GB"/>
        </w:rPr>
        <w:t>.</w:t>
      </w:r>
    </w:p>
    <w:p w:rsidR="0068497A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</w:p>
    <w:p w:rsidR="007B533A" w:rsidRPr="002F3F26" w:rsidRDefault="007B533A" w:rsidP="008730A0">
      <w:pPr>
        <w:ind w:firstLine="720"/>
        <w:jc w:val="both"/>
        <w:rPr>
          <w:rFonts w:eastAsiaTheme="minorHAnsi"/>
          <w:b/>
          <w:bCs/>
          <w:lang w:val="sr-Cyrl-CS"/>
        </w:rPr>
      </w:pPr>
      <w:r w:rsidRPr="002F3F26">
        <w:rPr>
          <w:rFonts w:eastAsiaTheme="minorHAnsi"/>
          <w:b/>
          <w:bCs/>
        </w:rPr>
        <w:t>Предлог финансијског плана обухвата:</w:t>
      </w:r>
    </w:p>
    <w:p w:rsidR="007B533A" w:rsidRPr="002F3F26" w:rsidRDefault="007B533A" w:rsidP="008730A0">
      <w:pPr>
        <w:jc w:val="both"/>
        <w:rPr>
          <w:rFonts w:eastAsiaTheme="minorHAnsi"/>
          <w:b/>
          <w:bCs/>
          <w:lang w:val="sr-Cyrl-CS"/>
        </w:rPr>
      </w:pPr>
    </w:p>
    <w:p w:rsidR="007B533A" w:rsidRPr="002F3F26" w:rsidRDefault="007B533A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 w:rsidRPr="002F3F26">
        <w:rPr>
          <w:rFonts w:eastAsiaTheme="minorHAnsi"/>
          <w:bCs/>
        </w:rPr>
        <w:t>1)</w:t>
      </w:r>
      <w:r w:rsidRPr="002F3F26">
        <w:rPr>
          <w:rFonts w:eastAsiaTheme="minorHAnsi"/>
          <w:b/>
          <w:bCs/>
        </w:rPr>
        <w:t xml:space="preserve"> </w:t>
      </w:r>
      <w:r w:rsidRPr="002F3F26">
        <w:rPr>
          <w:rFonts w:eastAsiaTheme="minorHAnsi"/>
          <w:bCs/>
        </w:rPr>
        <w:t xml:space="preserve">Расходе и издатке за </w:t>
      </w:r>
      <w:r w:rsidR="004D7CA8">
        <w:rPr>
          <w:rFonts w:eastAsiaTheme="minorHAnsi"/>
          <w:bCs/>
        </w:rPr>
        <w:t>2018</w:t>
      </w:r>
      <w:r w:rsidR="007E4E43">
        <w:rPr>
          <w:rFonts w:eastAsiaTheme="minorHAnsi"/>
          <w:bCs/>
        </w:rPr>
        <w:t>. године</w:t>
      </w:r>
      <w:r w:rsidRPr="002F3F26">
        <w:rPr>
          <w:rFonts w:eastAsiaTheme="minorHAnsi"/>
          <w:bCs/>
        </w:rPr>
        <w:t xml:space="preserve"> и две наредне године, исказане по </w:t>
      </w:r>
      <w:r w:rsidR="00D35E5D">
        <w:rPr>
          <w:rFonts w:eastAsiaTheme="minorHAnsi"/>
          <w:bCs/>
        </w:rPr>
        <w:t xml:space="preserve">економској </w:t>
      </w:r>
      <w:r w:rsidRPr="002F3F26">
        <w:rPr>
          <w:rFonts w:eastAsiaTheme="minorHAnsi"/>
          <w:bCs/>
        </w:rPr>
        <w:t>класификацији (у складу са обрасцима који су саставни део овог упутства)</w:t>
      </w:r>
      <w:r w:rsidRPr="002F3F26">
        <w:rPr>
          <w:rFonts w:eastAsiaTheme="minorHAnsi"/>
          <w:bCs/>
          <w:lang w:val="sr-Cyrl-CS"/>
        </w:rPr>
        <w:t>,</w:t>
      </w:r>
      <w:r w:rsidRPr="002F3F26">
        <w:rPr>
          <w:rFonts w:eastAsiaTheme="minorHAnsi"/>
          <w:bCs/>
        </w:rPr>
        <w:t xml:space="preserve"> као и по</w:t>
      </w:r>
      <w:r w:rsidRPr="002F3F26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програмској класификацији</w:t>
      </w:r>
      <w:r w:rsidRPr="002F3F26">
        <w:rPr>
          <w:rFonts w:eastAsiaTheme="minorHAnsi"/>
          <w:bCs/>
          <w:lang w:val="sr-Cyrl-CS"/>
        </w:rPr>
        <w:t>;</w:t>
      </w:r>
    </w:p>
    <w:p w:rsidR="007B533A" w:rsidRPr="002F3F26" w:rsidRDefault="007B533A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 w:rsidRPr="002F3F26">
        <w:rPr>
          <w:rFonts w:eastAsiaTheme="minorHAnsi"/>
          <w:bCs/>
        </w:rPr>
        <w:t>2) Детаљно писано образложење расхода и издатака, као и извора финансирања</w:t>
      </w:r>
      <w:r w:rsidRPr="002F3F26">
        <w:rPr>
          <w:rFonts w:eastAsiaTheme="minorHAnsi"/>
          <w:bCs/>
          <w:lang w:val="sr-Cyrl-CS"/>
        </w:rPr>
        <w:t>;</w:t>
      </w:r>
    </w:p>
    <w:p w:rsidR="007B533A" w:rsidRPr="002F3F26" w:rsidRDefault="00577A2A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>3) Детаљно писану израду</w:t>
      </w:r>
      <w:r w:rsidR="007B533A" w:rsidRPr="002F3F26">
        <w:rPr>
          <w:rFonts w:eastAsiaTheme="minorHAnsi"/>
          <w:bCs/>
        </w:rPr>
        <w:t xml:space="preserve"> програмског дела буџета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7B533A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 w:rsidRPr="002F3F26">
        <w:rPr>
          <w:rFonts w:eastAsiaTheme="minorHAnsi"/>
          <w:bCs/>
        </w:rPr>
        <w:t>4) Предлог капиталних пројеката (по обрасцу који је саставни део овог</w:t>
      </w:r>
      <w:r w:rsidRPr="002F3F26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упутства)</w:t>
      </w:r>
      <w:r w:rsidRPr="002F3F26">
        <w:rPr>
          <w:rFonts w:eastAsiaTheme="minorHAnsi"/>
          <w:bCs/>
          <w:lang w:val="sr-Cyrl-CS"/>
        </w:rPr>
        <w:t>;</w:t>
      </w:r>
    </w:p>
    <w:p w:rsidR="00007101" w:rsidRDefault="007B533A" w:rsidP="008730A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2F3F26">
        <w:rPr>
          <w:rFonts w:eastAsiaTheme="minorHAnsi"/>
          <w:bCs/>
        </w:rPr>
        <w:t xml:space="preserve">5) Предлог </w:t>
      </w:r>
      <w:r w:rsidR="00C35798">
        <w:rPr>
          <w:rFonts w:eastAsiaTheme="minorHAnsi"/>
          <w:bCs/>
        </w:rPr>
        <w:t>проје</w:t>
      </w:r>
      <w:r w:rsidRPr="002F3F26">
        <w:rPr>
          <w:rFonts w:eastAsiaTheme="minorHAnsi"/>
          <w:bCs/>
        </w:rPr>
        <w:t>ката развојне по</w:t>
      </w:r>
      <w:r w:rsidR="004D7CA8">
        <w:rPr>
          <w:rFonts w:eastAsiaTheme="minorHAnsi"/>
          <w:bCs/>
        </w:rPr>
        <w:t>моћи ЕУ који се планирају у 2018</w:t>
      </w:r>
      <w:r w:rsidRPr="002F3F26">
        <w:rPr>
          <w:rFonts w:eastAsiaTheme="minorHAnsi"/>
          <w:bCs/>
        </w:rPr>
        <w:t>.</w:t>
      </w:r>
      <w:r w:rsidRPr="002F3F26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г</w:t>
      </w:r>
      <w:r w:rsidRPr="002F3F26">
        <w:rPr>
          <w:rFonts w:eastAsiaTheme="minorHAnsi"/>
          <w:bCs/>
          <w:lang w:val="sr-Cyrl-CS"/>
        </w:rPr>
        <w:t>одини</w:t>
      </w:r>
      <w:r w:rsidRPr="002F3F26">
        <w:rPr>
          <w:rFonts w:eastAsiaTheme="minorHAnsi"/>
          <w:bCs/>
        </w:rPr>
        <w:t>, односно</w:t>
      </w:r>
      <w:r w:rsidRPr="002F3F26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пројекти који ће бити реализовани у 201</w:t>
      </w:r>
      <w:r w:rsidR="004D7CA8">
        <w:rPr>
          <w:rFonts w:eastAsiaTheme="minorHAnsi"/>
          <w:bCs/>
        </w:rPr>
        <w:t>8</w:t>
      </w:r>
      <w:r w:rsidRPr="002F3F26">
        <w:rPr>
          <w:rFonts w:eastAsiaTheme="minorHAnsi"/>
          <w:bCs/>
        </w:rPr>
        <w:t>. г</w:t>
      </w:r>
      <w:r w:rsidRPr="002F3F26">
        <w:rPr>
          <w:rFonts w:eastAsiaTheme="minorHAnsi"/>
          <w:bCs/>
          <w:lang w:val="sr-Cyrl-CS"/>
        </w:rPr>
        <w:t>одини</w:t>
      </w:r>
      <w:r w:rsidRPr="002F3F26">
        <w:rPr>
          <w:rFonts w:eastAsiaTheme="minorHAnsi"/>
          <w:bCs/>
        </w:rPr>
        <w:t xml:space="preserve"> и две наредне године (предлог доставити у</w:t>
      </w:r>
      <w:r w:rsidRPr="002F3F26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слободној форми са следећим обавезним елементима: назив пројекта, циљ пројекта,</w:t>
      </w:r>
      <w:r w:rsidR="00D35E5D">
        <w:rPr>
          <w:rFonts w:eastAsiaTheme="minorHAnsi"/>
          <w:bCs/>
          <w:lang w:val="sr-Cyrl-CS"/>
        </w:rPr>
        <w:t xml:space="preserve"> </w:t>
      </w:r>
      <w:r w:rsidRPr="002F3F26">
        <w:rPr>
          <w:rFonts w:eastAsiaTheme="minorHAnsi"/>
          <w:bCs/>
        </w:rPr>
        <w:t>опис пројекта, буџет пројекта, финансијско учешће у пројекту, рокови почетка изавршетка пројекта, носилац</w:t>
      </w:r>
      <w:r w:rsidRPr="002F3F26">
        <w:rPr>
          <w:rFonts w:eastAsiaTheme="minorHAnsi"/>
          <w:b/>
          <w:bCs/>
        </w:rPr>
        <w:t xml:space="preserve"> </w:t>
      </w:r>
      <w:r w:rsidRPr="002F3F26">
        <w:rPr>
          <w:rFonts w:eastAsiaTheme="minorHAnsi"/>
          <w:bCs/>
        </w:rPr>
        <w:t>пројекта и партнери)</w:t>
      </w:r>
      <w:r w:rsidR="0026684F">
        <w:rPr>
          <w:rFonts w:eastAsiaTheme="minorHAnsi"/>
          <w:bCs/>
          <w:lang w:val="sr-Cyrl-CS"/>
        </w:rPr>
        <w:t>;</w:t>
      </w:r>
    </w:p>
    <w:p w:rsidR="0026684F" w:rsidRPr="006A1C70" w:rsidRDefault="0026684F" w:rsidP="008730A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 xml:space="preserve">6) </w:t>
      </w:r>
      <w:r w:rsidRPr="006A1C70">
        <w:rPr>
          <w:b/>
          <w:u w:val="single"/>
        </w:rPr>
        <w:t xml:space="preserve">извештај о учинку програма за првих шест месеци </w:t>
      </w:r>
      <w:r w:rsidR="00D35E5D" w:rsidRPr="006A1C70">
        <w:rPr>
          <w:b/>
          <w:u w:val="single"/>
        </w:rPr>
        <w:t xml:space="preserve">2017. </w:t>
      </w:r>
      <w:r w:rsidRPr="006A1C70">
        <w:rPr>
          <w:b/>
          <w:u w:val="single"/>
        </w:rPr>
        <w:t>године</w:t>
      </w:r>
      <w:r w:rsidRPr="006A1C70">
        <w:rPr>
          <w:b/>
        </w:rPr>
        <w:t>.</w:t>
      </w:r>
    </w:p>
    <w:p w:rsidR="00953E33" w:rsidRPr="00795F47" w:rsidRDefault="00C35798" w:rsidP="008730A0">
      <w:pPr>
        <w:pStyle w:val="normal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Предлог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</w:rPr>
        <w:t>финансијских планова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C35798">
        <w:rPr>
          <w:rFonts w:ascii="Times New Roman" w:hAnsi="Times New Roman" w:cs="Times New Roman"/>
          <w:b/>
          <w:sz w:val="24"/>
          <w:szCs w:val="24"/>
        </w:rPr>
        <w:t>мора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47" w:rsidRPr="00795F47">
        <w:rPr>
          <w:rFonts w:ascii="Times New Roman" w:hAnsi="Times New Roman" w:cs="Times New Roman"/>
          <w:b/>
          <w:sz w:val="24"/>
          <w:szCs w:val="24"/>
        </w:rPr>
        <w:t xml:space="preserve">садржи </w:t>
      </w:r>
      <w:r w:rsidR="00953E33" w:rsidRPr="006A1C70">
        <w:rPr>
          <w:rFonts w:ascii="Times New Roman" w:hAnsi="Times New Roman" w:cs="Times New Roman"/>
          <w:b/>
          <w:sz w:val="24"/>
          <w:szCs w:val="24"/>
          <w:u w:val="single"/>
        </w:rPr>
        <w:t>образложење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општег дела </w:t>
      </w:r>
      <w:r w:rsidR="00795F47" w:rsidRPr="00795F47">
        <w:rPr>
          <w:rFonts w:ascii="Times New Roman" w:eastAsiaTheme="minorHAnsi" w:hAnsi="Times New Roman" w:cs="Times New Roman"/>
          <w:b/>
          <w:sz w:val="24"/>
          <w:szCs w:val="24"/>
        </w:rPr>
        <w:t>финансијског плана и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програмске информације.</w:t>
      </w:r>
    </w:p>
    <w:p w:rsidR="00BE6FDF" w:rsidRPr="00453CD1" w:rsidRDefault="00953E33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28. 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542312">
        <w:rPr>
          <w:rFonts w:ascii="Times New Roman" w:hAnsi="Times New Roman" w:cs="Times New Roman"/>
          <w:sz w:val="24"/>
          <w:szCs w:val="24"/>
        </w:rPr>
        <w:t>а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 xml:space="preserve"> о буџетском систему </w:t>
      </w:r>
      <w:r w:rsidR="00542312" w:rsidRPr="00542312">
        <w:rPr>
          <w:rFonts w:ascii="Times New Roman" w:hAnsi="Times New Roman" w:cs="Times New Roman"/>
          <w:sz w:val="24"/>
          <w:szCs w:val="24"/>
        </w:rPr>
        <w:t>систему</w:t>
      </w:r>
      <w:r w:rsidR="00542312">
        <w:rPr>
          <w:rFonts w:ascii="Times New Roman" w:hAnsi="Times New Roman" w:cs="Times New Roman"/>
          <w:sz w:val="24"/>
          <w:szCs w:val="24"/>
        </w:rPr>
        <w:t xml:space="preserve"> дефинисано је да „</w:t>
      </w:r>
      <w:r w:rsidRPr="00542312">
        <w:rPr>
          <w:rFonts w:ascii="Times New Roman" w:hAnsi="Times New Roman" w:cs="Times New Roman"/>
          <w:b/>
          <w:sz w:val="24"/>
          <w:szCs w:val="24"/>
        </w:rPr>
        <w:t>Програмске информације</w:t>
      </w:r>
      <w:r w:rsidRPr="00953E33">
        <w:rPr>
          <w:rFonts w:ascii="Times New Roman" w:hAnsi="Times New Roman" w:cs="Times New Roman"/>
          <w:sz w:val="24"/>
          <w:szCs w:val="24"/>
        </w:rPr>
        <w:t xml:space="preserve"> из става 5. тачка 2) овог члана садрже описе програма, програмских активности и пројеката корисника буџетских средстава, циљеве који се желе постићи у средњорочном периоду спровођењем програма, програмских активности и пројеката, као и показатеље учинка за праћење постизања наведених циљева. </w:t>
      </w:r>
    </w:p>
    <w:p w:rsidR="00785C22" w:rsidRPr="00785C22" w:rsidRDefault="00007101" w:rsidP="008730A0">
      <w:pPr>
        <w:pStyle w:val="Default"/>
        <w:ind w:firstLine="720"/>
        <w:jc w:val="both"/>
      </w:pPr>
      <w:r w:rsidRPr="00785C22">
        <w:t xml:space="preserve">Упућујемо кориснике буџета Општине </w:t>
      </w:r>
      <w:r w:rsidR="00991DC3" w:rsidRPr="00785C22">
        <w:rPr>
          <w:lang w:val="sr-Cyrl-CS"/>
        </w:rPr>
        <w:t>Горњи Милановац</w:t>
      </w:r>
      <w:r w:rsidRPr="00785C22">
        <w:t xml:space="preserve"> да се </w:t>
      </w:r>
      <w:r w:rsidR="00785C22" w:rsidRPr="00785C22">
        <w:t xml:space="preserve">Упутство за припрему програмског буџета се може наћи на сајту Министарства финансија </w:t>
      </w:r>
      <w:r w:rsidR="00785C22" w:rsidRPr="004E42A2">
        <w:rPr>
          <w:b/>
        </w:rPr>
        <w:t>(www.mfin.gov.rs),</w:t>
      </w:r>
      <w:r w:rsidR="00785C22" w:rsidRPr="00785C22">
        <w:t xml:space="preserve"> као и на сајту </w:t>
      </w:r>
      <w:r w:rsidR="00785C22" w:rsidRPr="004E42A2">
        <w:rPr>
          <w:b/>
        </w:rPr>
        <w:t>СКГО (www.skgo.org).</w:t>
      </w:r>
      <w:r w:rsidR="00785C22" w:rsidRPr="00785C22">
        <w:t xml:space="preserve"> </w:t>
      </w:r>
    </w:p>
    <w:p w:rsidR="00453CD1" w:rsidRDefault="00007101" w:rsidP="008730A0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785C22">
        <w:rPr>
          <w:rFonts w:eastAsiaTheme="minorHAnsi"/>
        </w:rPr>
        <w:t xml:space="preserve">Нарочито је потребно обратити пажњу на </w:t>
      </w:r>
      <w:r w:rsidRPr="006A1C70">
        <w:rPr>
          <w:rFonts w:eastAsiaTheme="minorHAnsi"/>
          <w:b/>
          <w:u w:val="single"/>
        </w:rPr>
        <w:t>шифарник</w:t>
      </w:r>
      <w:r w:rsidRPr="00785C22">
        <w:rPr>
          <w:rFonts w:eastAsiaTheme="minorHAnsi"/>
        </w:rPr>
        <w:t xml:space="preserve"> програма, програмских активности ипројеката који су дати у прилогу </w:t>
      </w:r>
      <w:r w:rsidR="00991DC3" w:rsidRPr="00785C22">
        <w:rPr>
          <w:rFonts w:eastAsiaTheme="minorHAnsi"/>
          <w:lang w:val="sr-Cyrl-CS"/>
        </w:rPr>
        <w:t>т</w:t>
      </w:r>
      <w:r w:rsidRPr="00785C22">
        <w:rPr>
          <w:rFonts w:eastAsiaTheme="minorHAnsi"/>
        </w:rPr>
        <w:t>ог упутства</w:t>
      </w:r>
      <w:r w:rsidR="00991DC3" w:rsidRPr="00785C22">
        <w:rPr>
          <w:rFonts w:eastAsiaTheme="minorHAnsi"/>
          <w:lang w:val="sr-Cyrl-CS"/>
        </w:rPr>
        <w:t>.</w:t>
      </w:r>
      <w:r w:rsidR="00453CD1" w:rsidRPr="00453CD1">
        <w:rPr>
          <w:rFonts w:eastAsiaTheme="minorHAnsi"/>
        </w:rPr>
        <w:t xml:space="preserve"> </w:t>
      </w:r>
    </w:p>
    <w:p w:rsidR="007B533A" w:rsidRPr="00785C22" w:rsidRDefault="007B533A" w:rsidP="008730A0">
      <w:pPr>
        <w:jc w:val="both"/>
        <w:rPr>
          <w:lang w:val="sr-Cyrl-CS"/>
        </w:rPr>
      </w:pPr>
    </w:p>
    <w:p w:rsidR="00944D27" w:rsidRPr="002F3F26" w:rsidRDefault="00FF2232" w:rsidP="008730A0">
      <w:pPr>
        <w:spacing w:after="120"/>
        <w:ind w:firstLine="360"/>
        <w:jc w:val="both"/>
      </w:pPr>
      <w:r w:rsidRPr="002F3F26">
        <w:rPr>
          <w:lang w:val="sr-Cyrl-CS"/>
        </w:rPr>
        <w:t>Предлог финансијс</w:t>
      </w:r>
      <w:r w:rsidR="006941DF" w:rsidRPr="002F3F26">
        <w:rPr>
          <w:lang w:val="sr-Cyrl-CS"/>
        </w:rPr>
        <w:t>ких планова б</w:t>
      </w:r>
      <w:r w:rsidRPr="002F3F26">
        <w:rPr>
          <w:lang w:val="sr-Cyrl-CS"/>
        </w:rPr>
        <w:t>уџетских корисника</w:t>
      </w:r>
      <w:r w:rsidR="00125FD0">
        <w:rPr>
          <w:lang w:val="sr-Cyrl-CS"/>
        </w:rPr>
        <w:t xml:space="preserve"> за 2018. годину</w:t>
      </w:r>
      <w:r w:rsidRPr="002F3F26">
        <w:rPr>
          <w:lang w:val="sr-Cyrl-CS"/>
        </w:rPr>
        <w:t xml:space="preserve"> </w:t>
      </w:r>
      <w:r w:rsidR="00F63AA1" w:rsidRPr="002F3F26">
        <w:rPr>
          <w:lang w:val="sr-Cyrl-CS"/>
        </w:rPr>
        <w:t xml:space="preserve">садржи </w:t>
      </w:r>
      <w:r w:rsidR="006941DF" w:rsidRPr="002F3F26">
        <w:rPr>
          <w:lang w:val="sr-Cyrl-CS"/>
        </w:rPr>
        <w:t>следеће</w:t>
      </w:r>
      <w:r w:rsidR="00F63AA1" w:rsidRPr="002F3F26">
        <w:rPr>
          <w:lang w:val="sr-Cyrl-CS"/>
        </w:rPr>
        <w:t xml:space="preserve"> табеле</w:t>
      </w:r>
      <w:r w:rsidR="00985FD8">
        <w:rPr>
          <w:lang w:val="sr-Cyrl-CS"/>
        </w:rPr>
        <w:t xml:space="preserve"> и обрасце</w:t>
      </w:r>
      <w:r w:rsidRPr="002F3F26">
        <w:rPr>
          <w:lang w:val="sr-Cyrl-CS"/>
        </w:rPr>
        <w:t>:</w:t>
      </w:r>
    </w:p>
    <w:p w:rsidR="00346234" w:rsidRPr="00130D51" w:rsidRDefault="00920B8D" w:rsidP="008730A0">
      <w:pPr>
        <w:ind w:left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1) </w:t>
      </w:r>
      <w:r w:rsidR="00466913">
        <w:rPr>
          <w:b/>
          <w:bCs/>
          <w:lang w:val="sr-Cyrl-CS"/>
        </w:rPr>
        <w:t>Табела</w:t>
      </w:r>
      <w:r w:rsidR="00346234" w:rsidRPr="00130D51">
        <w:rPr>
          <w:b/>
          <w:bCs/>
          <w:lang w:val="sr-Cyrl-CS"/>
        </w:rPr>
        <w:t xml:space="preserve"> 1. - Програм </w:t>
      </w:r>
    </w:p>
    <w:p w:rsidR="00346234" w:rsidRPr="00130D51" w:rsidRDefault="00920B8D" w:rsidP="008730A0">
      <w:pPr>
        <w:ind w:left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2) </w:t>
      </w:r>
      <w:r w:rsidR="00466913">
        <w:rPr>
          <w:b/>
          <w:bCs/>
          <w:lang w:val="sr-Cyrl-CS"/>
        </w:rPr>
        <w:t>Табела</w:t>
      </w:r>
      <w:r w:rsidR="00346234" w:rsidRPr="00130D51">
        <w:rPr>
          <w:b/>
          <w:bCs/>
          <w:lang w:val="sr-Cyrl-CS"/>
        </w:rPr>
        <w:t xml:space="preserve"> 2. - Програмска активност </w:t>
      </w:r>
    </w:p>
    <w:p w:rsidR="00346234" w:rsidRPr="00130D51" w:rsidRDefault="00920B8D" w:rsidP="008730A0">
      <w:pPr>
        <w:ind w:left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3) </w:t>
      </w:r>
      <w:r w:rsidR="00466913">
        <w:rPr>
          <w:b/>
          <w:bCs/>
          <w:lang w:val="sr-Cyrl-CS"/>
        </w:rPr>
        <w:t>Табела</w:t>
      </w:r>
      <w:r w:rsidR="00346234" w:rsidRPr="00130D51">
        <w:rPr>
          <w:b/>
          <w:bCs/>
          <w:lang w:val="sr-Cyrl-CS"/>
        </w:rPr>
        <w:t xml:space="preserve"> 3. - Пројекат</w:t>
      </w:r>
    </w:p>
    <w:p w:rsidR="00346234" w:rsidRPr="00130D51" w:rsidRDefault="00920B8D" w:rsidP="008730A0">
      <w:pPr>
        <w:ind w:left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4) </w:t>
      </w:r>
      <w:r w:rsidR="00466913">
        <w:rPr>
          <w:b/>
          <w:bCs/>
          <w:lang w:val="sr-Cyrl-CS"/>
        </w:rPr>
        <w:t>Табела</w:t>
      </w:r>
      <w:r w:rsidR="00346234" w:rsidRPr="00130D51">
        <w:rPr>
          <w:b/>
          <w:bCs/>
          <w:lang w:val="sr-Cyrl-CS"/>
        </w:rPr>
        <w:t xml:space="preserve"> 4. - Захтев за додатна средства – програмска активност/пројекат</w:t>
      </w:r>
    </w:p>
    <w:p w:rsidR="008F4FBF" w:rsidRPr="00BA67F3" w:rsidRDefault="00920B8D" w:rsidP="008730A0">
      <w:pPr>
        <w:ind w:left="720"/>
        <w:jc w:val="both"/>
        <w:rPr>
          <w:b/>
          <w:bCs/>
        </w:rPr>
      </w:pPr>
      <w:r>
        <w:rPr>
          <w:b/>
          <w:bCs/>
          <w:lang w:val="sr-Cyrl-CS"/>
        </w:rPr>
        <w:t xml:space="preserve">5) </w:t>
      </w:r>
      <w:r w:rsidR="00466913">
        <w:rPr>
          <w:b/>
          <w:bCs/>
          <w:lang w:val="sr-Cyrl-CS"/>
        </w:rPr>
        <w:t>Табела</w:t>
      </w:r>
      <w:r w:rsidR="00346234" w:rsidRPr="00130D51">
        <w:rPr>
          <w:b/>
          <w:bCs/>
          <w:lang w:val="sr-Cyrl-CS"/>
        </w:rPr>
        <w:t xml:space="preserve"> 5. - Плате и број запосле</w:t>
      </w:r>
      <w:r w:rsidR="00BA67F3">
        <w:rPr>
          <w:b/>
          <w:bCs/>
          <w:lang w:val="sr-Cyrl-CS"/>
        </w:rPr>
        <w:t>них, укључујући табеле Т1, Т2, Т3, Т4</w:t>
      </w:r>
      <w:r w:rsidR="00BA67F3">
        <w:rPr>
          <w:b/>
          <w:bCs/>
        </w:rPr>
        <w:t>,</w:t>
      </w:r>
      <w:r w:rsidR="00346234" w:rsidRPr="00130D51">
        <w:rPr>
          <w:b/>
          <w:bCs/>
          <w:lang w:val="sr-Cyrl-CS"/>
        </w:rPr>
        <w:t xml:space="preserve"> Т5</w:t>
      </w:r>
      <w:r w:rsidR="00BA67F3">
        <w:rPr>
          <w:b/>
          <w:bCs/>
        </w:rPr>
        <w:t>,    Т6 и Т7</w:t>
      </w:r>
    </w:p>
    <w:p w:rsidR="00C415C9" w:rsidRDefault="00920B8D" w:rsidP="008730A0">
      <w:pPr>
        <w:autoSpaceDE w:val="0"/>
        <w:autoSpaceDN w:val="0"/>
        <w:adjustRightInd w:val="0"/>
        <w:ind w:firstLine="720"/>
        <w:rPr>
          <w:b/>
        </w:rPr>
      </w:pPr>
      <w:r>
        <w:rPr>
          <w:b/>
          <w:lang w:val="sr-Cyrl-CS"/>
        </w:rPr>
        <w:t xml:space="preserve">7) </w:t>
      </w:r>
      <w:r w:rsidR="00466913">
        <w:rPr>
          <w:b/>
          <w:lang w:val="sr-Cyrl-CS"/>
        </w:rPr>
        <w:t>Табела</w:t>
      </w:r>
      <w:r w:rsidR="00346234" w:rsidRPr="00130D51">
        <w:rPr>
          <w:b/>
          <w:lang w:val="sr-Cyrl-CS"/>
        </w:rPr>
        <w:t xml:space="preserve"> 6</w:t>
      </w:r>
      <w:r w:rsidR="00346234" w:rsidRPr="00130D51">
        <w:rPr>
          <w:b/>
        </w:rPr>
        <w:t xml:space="preserve">. - </w:t>
      </w:r>
      <w:r w:rsidR="00346234" w:rsidRPr="00130D51">
        <w:rPr>
          <w:b/>
          <w:lang w:val="sr-Cyrl-CS"/>
        </w:rPr>
        <w:t>Преглед капиталних пројеката за период од</w:t>
      </w:r>
      <w:r w:rsidR="00346234" w:rsidRPr="00130D51">
        <w:rPr>
          <w:b/>
        </w:rPr>
        <w:t xml:space="preserve"> 201</w:t>
      </w:r>
      <w:r w:rsidR="0089057D">
        <w:rPr>
          <w:b/>
        </w:rPr>
        <w:t>8</w:t>
      </w:r>
      <w:r w:rsidR="00743FB1">
        <w:rPr>
          <w:b/>
        </w:rPr>
        <w:t xml:space="preserve"> </w:t>
      </w:r>
      <w:r w:rsidR="0089057D">
        <w:rPr>
          <w:b/>
        </w:rPr>
        <w:t>-</w:t>
      </w:r>
      <w:r w:rsidR="00743FB1">
        <w:rPr>
          <w:b/>
        </w:rPr>
        <w:t xml:space="preserve"> </w:t>
      </w:r>
      <w:r w:rsidR="0089057D">
        <w:rPr>
          <w:b/>
        </w:rPr>
        <w:t>2020</w:t>
      </w:r>
      <w:r w:rsidR="00346234" w:rsidRPr="00130D51">
        <w:rPr>
          <w:b/>
        </w:rPr>
        <w:t xml:space="preserve">. </w:t>
      </w:r>
      <w:r w:rsidR="006F426B">
        <w:rPr>
          <w:b/>
        </w:rPr>
        <w:t>г</w:t>
      </w:r>
      <w:r w:rsidR="00346234" w:rsidRPr="00130D51">
        <w:rPr>
          <w:b/>
        </w:rPr>
        <w:t>одине</w:t>
      </w:r>
    </w:p>
    <w:p w:rsidR="00346234" w:rsidRPr="00C415C9" w:rsidRDefault="00920B8D" w:rsidP="008730A0">
      <w:pPr>
        <w:autoSpaceDE w:val="0"/>
        <w:autoSpaceDN w:val="0"/>
        <w:adjustRightInd w:val="0"/>
        <w:ind w:left="720"/>
        <w:jc w:val="both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8) </w:t>
      </w:r>
      <w:r w:rsidR="00E06046">
        <w:rPr>
          <w:rFonts w:ascii="TimesNewRomanPS-BoldMT" w:eastAsiaTheme="minorHAnsi" w:hAnsi="TimesNewRomanPS-BoldMT" w:cs="TimesNewRomanPS-BoldMT"/>
          <w:b/>
          <w:bCs/>
        </w:rPr>
        <w:t>Прилог</w:t>
      </w:r>
      <w:r w:rsidR="00466913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E06046">
        <w:rPr>
          <w:rFonts w:ascii="TimesNewRomanPS-BoldMT" w:eastAsiaTheme="minorHAnsi" w:hAnsi="TimesNewRomanPS-BoldMT" w:cs="TimesNewRomanPS-BoldMT"/>
          <w:b/>
          <w:bCs/>
        </w:rPr>
        <w:t>1</w:t>
      </w:r>
      <w:r w:rsidR="00466913">
        <w:rPr>
          <w:rFonts w:ascii="TimesNewRomanPS-BoldMT" w:eastAsiaTheme="minorHAnsi" w:hAnsi="TimesNewRomanPS-BoldMT" w:cs="TimesNewRomanPS-BoldMT"/>
          <w:b/>
          <w:bCs/>
        </w:rPr>
        <w:t>.</w:t>
      </w:r>
      <w:r w:rsidR="00E06046">
        <w:rPr>
          <w:rFonts w:ascii="TimesNewRomanPS-BoldMT" w:eastAsiaTheme="minorHAnsi" w:hAnsi="TimesNewRomanPS-BoldMT" w:cs="TimesNewRomanPS-BoldMT"/>
          <w:b/>
          <w:bCs/>
        </w:rPr>
        <w:t xml:space="preserve"> - Образац</w:t>
      </w:r>
      <w:r w:rsidR="00C415C9">
        <w:rPr>
          <w:rFonts w:ascii="TimesNewRomanPS-BoldMT" w:eastAsiaTheme="minorHAnsi" w:hAnsi="TimesNewRomanPS-BoldMT" w:cs="TimesNewRomanPS-BoldMT"/>
          <w:b/>
          <w:bCs/>
        </w:rPr>
        <w:t xml:space="preserve"> за полугодишњи извештај о учинку програма, програмске активности и пројеката за 2017. годину</w:t>
      </w:r>
    </w:p>
    <w:p w:rsidR="00346234" w:rsidRPr="00130D51" w:rsidRDefault="00920B8D" w:rsidP="008730A0">
      <w:pPr>
        <w:spacing w:after="60"/>
        <w:ind w:left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9) </w:t>
      </w:r>
      <w:r w:rsidR="00346234" w:rsidRPr="00130D51">
        <w:rPr>
          <w:b/>
          <w:bCs/>
          <w:lang w:val="sr-Cyrl-CS"/>
        </w:rPr>
        <w:t>Писано образложење за сваки појединачни захтев рашчлањено по контима.</w:t>
      </w:r>
    </w:p>
    <w:p w:rsidR="00346234" w:rsidRDefault="00106117" w:rsidP="008730A0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</w:rPr>
      </w:pPr>
      <w:r>
        <w:rPr>
          <w:rFonts w:eastAsiaTheme="minorHAnsi"/>
        </w:rPr>
        <w:lastRenderedPageBreak/>
        <w:t xml:space="preserve">Мора се још једном нагласити је </w:t>
      </w:r>
      <w:r w:rsidRPr="00282C3E">
        <w:rPr>
          <w:rFonts w:eastAsiaTheme="minorHAnsi"/>
        </w:rPr>
        <w:t>чланом 31. Закона</w:t>
      </w:r>
      <w:r w:rsidRPr="00282C3E">
        <w:rPr>
          <w:lang w:val="sr-Cyrl-CS"/>
        </w:rPr>
        <w:t xml:space="preserve"> о буџетском систему</w:t>
      </w:r>
      <w:r w:rsidRPr="00453CD1">
        <w:rPr>
          <w:rFonts w:eastAsiaTheme="minorHAnsi"/>
          <w:b/>
        </w:rPr>
        <w:t xml:space="preserve"> </w:t>
      </w:r>
      <w:r w:rsidRPr="00282C3E">
        <w:rPr>
          <w:rFonts w:eastAsiaTheme="minorHAnsi"/>
        </w:rPr>
        <w:t xml:space="preserve">предвиђено да </w:t>
      </w:r>
      <w:r w:rsidRPr="00282C3E">
        <w:rPr>
          <w:sz w:val="25"/>
          <w:szCs w:val="25"/>
        </w:rPr>
        <w:t>предлог финансијског плана</w:t>
      </w:r>
      <w:r w:rsidRPr="00453CD1">
        <w:rPr>
          <w:b/>
          <w:sz w:val="25"/>
          <w:szCs w:val="25"/>
        </w:rPr>
        <w:t xml:space="preserve"> </w:t>
      </w:r>
      <w:r w:rsidRPr="00282C3E">
        <w:rPr>
          <w:sz w:val="25"/>
          <w:szCs w:val="25"/>
        </w:rPr>
        <w:t>мора да</w:t>
      </w:r>
      <w:r w:rsidRPr="00453CD1">
        <w:rPr>
          <w:b/>
          <w:sz w:val="25"/>
          <w:szCs w:val="25"/>
        </w:rPr>
        <w:t xml:space="preserve"> </w:t>
      </w:r>
      <w:r w:rsidRPr="00282C3E">
        <w:rPr>
          <w:sz w:val="25"/>
          <w:szCs w:val="25"/>
        </w:rPr>
        <w:t>садржи</w:t>
      </w:r>
      <w:r w:rsidRPr="00453CD1">
        <w:rPr>
          <w:b/>
          <w:sz w:val="25"/>
          <w:szCs w:val="25"/>
        </w:rPr>
        <w:t xml:space="preserve"> извештај о учинку програма за првих шест месеци текуће године</w:t>
      </w:r>
      <w:r w:rsidR="00276159">
        <w:rPr>
          <w:b/>
          <w:sz w:val="25"/>
          <w:szCs w:val="25"/>
        </w:rPr>
        <w:t>.</w:t>
      </w:r>
    </w:p>
    <w:p w:rsidR="009D1927" w:rsidRPr="009D1927" w:rsidRDefault="009D1927" w:rsidP="008730A0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</w:p>
    <w:p w:rsidR="00FF2232" w:rsidRPr="002F3F26" w:rsidRDefault="00C415C9" w:rsidP="008730A0">
      <w:pPr>
        <w:ind w:firstLine="720"/>
        <w:jc w:val="both"/>
        <w:rPr>
          <w:lang w:val="sr-Cyrl-CS"/>
        </w:rPr>
      </w:pPr>
      <w:r>
        <w:rPr>
          <w:lang w:val="sr-Cyrl-CS"/>
        </w:rPr>
        <w:t>У табели 4</w:t>
      </w:r>
      <w:r w:rsidR="00F63AA1" w:rsidRPr="002F3F26">
        <w:rPr>
          <w:lang w:val="sr-Cyrl-CS"/>
        </w:rPr>
        <w:t>. дата је могућност за исказивање з</w:t>
      </w:r>
      <w:r w:rsidR="00FF2232" w:rsidRPr="002F3F26">
        <w:rPr>
          <w:b/>
          <w:lang w:val="sr-Cyrl-CS"/>
        </w:rPr>
        <w:t>ахтев</w:t>
      </w:r>
      <w:r w:rsidR="00F63AA1" w:rsidRPr="002F3F26">
        <w:rPr>
          <w:b/>
          <w:lang w:val="sr-Cyrl-CS"/>
        </w:rPr>
        <w:t>а</w:t>
      </w:r>
      <w:r w:rsidR="00FF2232" w:rsidRPr="002F3F26">
        <w:rPr>
          <w:b/>
          <w:lang w:val="sr-Cyrl-CS"/>
        </w:rPr>
        <w:t xml:space="preserve"> за додатна средства</w:t>
      </w:r>
      <w:r w:rsidR="00FF2232" w:rsidRPr="002F3F26">
        <w:rPr>
          <w:lang w:val="sr-Cyrl-CS"/>
        </w:rPr>
        <w:t xml:space="preserve"> за текуће активности</w:t>
      </w:r>
      <w:r>
        <w:rPr>
          <w:lang w:val="sr-Cyrl-CS"/>
        </w:rPr>
        <w:t xml:space="preserve"> или нове пројекте који</w:t>
      </w:r>
      <w:r w:rsidR="002374B2">
        <w:rPr>
          <w:lang w:val="sr-Cyrl-CS"/>
        </w:rPr>
        <w:t xml:space="preserve"> не могу бити усклађени</w:t>
      </w:r>
      <w:r w:rsidR="00FF2232" w:rsidRPr="002F3F26">
        <w:rPr>
          <w:lang w:val="sr-Cyrl-CS"/>
        </w:rPr>
        <w:t xml:space="preserve"> са ограничењем средстава за текуће </w:t>
      </w:r>
      <w:r w:rsidR="002374B2">
        <w:rPr>
          <w:lang w:val="sr-Cyrl-CS"/>
        </w:rPr>
        <w:t>активности</w:t>
      </w:r>
      <w:r w:rsidR="00FF2232" w:rsidRPr="002F3F26">
        <w:rPr>
          <w:lang w:val="sr-Cyrl-CS"/>
        </w:rPr>
        <w:t>, са предлогом приоритета, које треба размот</w:t>
      </w:r>
      <w:r w:rsidR="00F63AA1" w:rsidRPr="002F3F26">
        <w:rPr>
          <w:lang w:val="sr-Cyrl-CS"/>
        </w:rPr>
        <w:t>рити у поступку доношења буџета.</w:t>
      </w:r>
    </w:p>
    <w:p w:rsidR="00780A12" w:rsidRPr="002F3F26" w:rsidRDefault="00780A12" w:rsidP="008730A0">
      <w:pPr>
        <w:jc w:val="both"/>
        <w:rPr>
          <w:lang w:val="sr-Cyrl-CS"/>
        </w:rPr>
      </w:pPr>
    </w:p>
    <w:p w:rsidR="00FF2232" w:rsidRPr="00DD3911" w:rsidRDefault="00FF2232" w:rsidP="008730A0">
      <w:pPr>
        <w:jc w:val="both"/>
        <w:rPr>
          <w:b/>
          <w:lang w:val="sr-Cyrl-CS"/>
        </w:rPr>
      </w:pPr>
      <w:r w:rsidRPr="002F3F26">
        <w:rPr>
          <w:lang w:val="sr-Cyrl-CS"/>
        </w:rPr>
        <w:tab/>
      </w:r>
      <w:r w:rsidR="00DD3911" w:rsidRPr="00DD3911">
        <w:rPr>
          <w:b/>
          <w:lang w:val="sr-Cyrl-CS"/>
        </w:rPr>
        <w:t>Захтев за додатна средства састоји</w:t>
      </w:r>
      <w:r w:rsidRPr="00DD3911">
        <w:rPr>
          <w:b/>
          <w:lang w:val="sr-Cyrl-CS"/>
        </w:rPr>
        <w:t xml:space="preserve"> се из писм</w:t>
      </w:r>
      <w:r w:rsidRPr="00DD3911">
        <w:rPr>
          <w:b/>
        </w:rPr>
        <w:t>e</w:t>
      </w:r>
      <w:r w:rsidRPr="00DD3911">
        <w:rPr>
          <w:b/>
          <w:lang w:val="sr-Cyrl-CS"/>
        </w:rPr>
        <w:t>ног објашњења и финансијског захтева.</w:t>
      </w:r>
    </w:p>
    <w:p w:rsidR="00780A12" w:rsidRPr="002F3F26" w:rsidRDefault="00780A12" w:rsidP="008730A0">
      <w:pPr>
        <w:jc w:val="both"/>
        <w:rPr>
          <w:lang w:val="sr-Cyrl-CS"/>
        </w:rPr>
      </w:pPr>
    </w:p>
    <w:p w:rsidR="00154556" w:rsidRDefault="00FF2232" w:rsidP="008730A0">
      <w:pPr>
        <w:tabs>
          <w:tab w:val="left" w:pos="1320"/>
        </w:tabs>
        <w:ind w:firstLine="720"/>
        <w:jc w:val="both"/>
        <w:rPr>
          <w:lang w:val="sr-Cyrl-CS"/>
        </w:rPr>
      </w:pPr>
      <w:r w:rsidRPr="002F3F26">
        <w:rPr>
          <w:b/>
          <w:lang w:val="sr-Cyrl-CS"/>
        </w:rPr>
        <w:t xml:space="preserve">Средства за плате </w:t>
      </w:r>
      <w:r w:rsidR="00070E29" w:rsidRPr="002F3F26">
        <w:rPr>
          <w:lang w:val="sr-Cyrl-CS"/>
        </w:rPr>
        <w:t>у 201</w:t>
      </w:r>
      <w:r w:rsidR="00160194">
        <w:rPr>
          <w:lang w:val="sr-Cyrl-CS"/>
        </w:rPr>
        <w:t>8</w:t>
      </w:r>
      <w:r w:rsidR="00516DA8" w:rsidRPr="002F3F26">
        <w:rPr>
          <w:lang w:val="sr-Cyrl-CS"/>
        </w:rPr>
        <w:t>. години</w:t>
      </w:r>
      <w:r w:rsidRPr="002F3F26">
        <w:rPr>
          <w:lang w:val="sr-Cyrl-CS"/>
        </w:rPr>
        <w:t xml:space="preserve"> </w:t>
      </w:r>
      <w:r w:rsidR="00F63AA1" w:rsidRPr="002F3F26">
        <w:rPr>
          <w:lang w:val="sr-Cyrl-CS"/>
        </w:rPr>
        <w:t>треба планирати</w:t>
      </w:r>
      <w:r w:rsidRPr="002F3F26">
        <w:rPr>
          <w:lang w:val="sr-Cyrl-CS"/>
        </w:rPr>
        <w:t xml:space="preserve"> </w:t>
      </w:r>
      <w:r w:rsidR="00A46BE1" w:rsidRPr="002F3F26">
        <w:rPr>
          <w:lang w:val="sr-Cyrl-CS"/>
        </w:rPr>
        <w:t xml:space="preserve">полазећи </w:t>
      </w:r>
      <w:r w:rsidR="00523D3D" w:rsidRPr="002F3F26">
        <w:rPr>
          <w:lang w:val="sr-Cyrl-CS"/>
        </w:rPr>
        <w:t xml:space="preserve">од </w:t>
      </w:r>
      <w:r w:rsidR="004C5F5A" w:rsidRPr="002F3F26">
        <w:rPr>
          <w:lang w:val="sr-Cyrl-CS"/>
        </w:rPr>
        <w:t>плат</w:t>
      </w:r>
      <w:r w:rsidR="00160194">
        <w:rPr>
          <w:lang w:val="sr-Cyrl-CS"/>
        </w:rPr>
        <w:t>а исплаћених за јул 2017</w:t>
      </w:r>
      <w:r w:rsidR="004C5F5A" w:rsidRPr="002F3F26">
        <w:rPr>
          <w:lang w:val="sr-Cyrl-CS"/>
        </w:rPr>
        <w:t>.године.</w:t>
      </w:r>
      <w:r w:rsidR="00523D3D" w:rsidRPr="002F3F26">
        <w:rPr>
          <w:lang w:val="sr-Cyrl-CS"/>
        </w:rPr>
        <w:t xml:space="preserve"> </w:t>
      </w:r>
      <w:r w:rsidR="000F3757" w:rsidRPr="002F3F26">
        <w:rPr>
          <w:lang w:val="en-GB"/>
        </w:rPr>
        <w:t xml:space="preserve"> </w:t>
      </w:r>
      <w:r w:rsidRPr="002F3F26">
        <w:rPr>
          <w:lang w:val="sr-Cyrl-CS"/>
        </w:rPr>
        <w:t>Приликом утврђивањ</w:t>
      </w:r>
      <w:r w:rsidR="00160194">
        <w:rPr>
          <w:lang w:val="sr-Cyrl-CS"/>
        </w:rPr>
        <w:t>а масе средстава за плате у 2018</w:t>
      </w:r>
      <w:r w:rsidRPr="002F3F26">
        <w:rPr>
          <w:lang w:val="sr-Cyrl-CS"/>
        </w:rPr>
        <w:t>. години буџетски корисници треба да пођу од постојећег броја запослених.</w:t>
      </w:r>
    </w:p>
    <w:p w:rsidR="000C35BA" w:rsidRDefault="000C35BA" w:rsidP="008730A0">
      <w:pPr>
        <w:tabs>
          <w:tab w:val="left" w:pos="1320"/>
        </w:tabs>
        <w:ind w:firstLine="720"/>
        <w:jc w:val="both"/>
      </w:pPr>
    </w:p>
    <w:p w:rsidR="00B141EB" w:rsidRDefault="00154556" w:rsidP="008730A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У систему јавног сектора обухваћен је и систем локалне самоуправе који чине органи јединице локалне самоуправе, јавне службе, јавна предузећа, правна лица основана од стране тих предузећа, привредна друштва и друге организације које у систему локалне самоуправе имају обавезу пријављивања података о запосленима у Регистар, односно запослени чије се плате, односно зараде финансир</w:t>
      </w:r>
      <w:r w:rsidR="00346C35">
        <w:rPr>
          <w:lang w:val="sr-Cyrl-CS"/>
        </w:rPr>
        <w:t>ају из буџета локане самоуправе</w:t>
      </w:r>
      <w:r>
        <w:rPr>
          <w:lang w:val="sr-Cyrl-CS"/>
        </w:rPr>
        <w:t>.</w:t>
      </w:r>
    </w:p>
    <w:p w:rsidR="00B141EB" w:rsidRDefault="00B141EB" w:rsidP="008730A0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B141EB">
        <w:rPr>
          <w:rFonts w:eastAsiaTheme="minorHAnsi"/>
          <w:color w:val="000000"/>
        </w:rPr>
        <w:t xml:space="preserve"> </w:t>
      </w:r>
      <w:r w:rsidRPr="00C73DF0">
        <w:rPr>
          <w:rFonts w:eastAsiaTheme="minorHAnsi"/>
          <w:color w:val="000000"/>
        </w:rPr>
        <w:t xml:space="preserve">На основу члана 6. Закона о начину одређивања максималног броја запослених у јавном сектору  и става 7. тачка 109. </w:t>
      </w:r>
      <w:r w:rsidRPr="00BA67F3">
        <w:rPr>
          <w:rFonts w:eastAsiaTheme="minorHAnsi"/>
          <w:color w:val="000000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годину,</w:t>
      </w:r>
      <w:r w:rsidRPr="00C73DF0">
        <w:rPr>
          <w:rFonts w:eastAsiaTheme="minorHAnsi"/>
          <w:color w:val="000000"/>
        </w:rPr>
        <w:t xml:space="preserve"> Скупштина општине Горњи Милановац</w:t>
      </w:r>
      <w:r>
        <w:rPr>
          <w:rFonts w:eastAsiaTheme="minorHAnsi"/>
          <w:color w:val="000000"/>
        </w:rPr>
        <w:t xml:space="preserve"> донела је </w:t>
      </w:r>
      <w:r w:rsidRPr="00C73DF0">
        <w:rPr>
          <w:rFonts w:eastAsiaTheme="minorHAnsi"/>
          <w:bCs/>
          <w:color w:val="000000"/>
        </w:rPr>
        <w:t>Oдлуку о максималном броју запослених на неодр</w:t>
      </w:r>
      <w:r>
        <w:rPr>
          <w:rFonts w:eastAsiaTheme="minorHAnsi"/>
          <w:bCs/>
          <w:color w:val="000000"/>
        </w:rPr>
        <w:t>еђено време у органима општине Горњи М</w:t>
      </w:r>
      <w:r w:rsidRPr="00C73DF0">
        <w:rPr>
          <w:rFonts w:eastAsiaTheme="minorHAnsi"/>
          <w:bCs/>
          <w:color w:val="000000"/>
        </w:rPr>
        <w:t>илановац, јавним предузећима и уста</w:t>
      </w:r>
      <w:r>
        <w:rPr>
          <w:rFonts w:eastAsiaTheme="minorHAnsi"/>
          <w:bCs/>
          <w:color w:val="000000"/>
        </w:rPr>
        <w:t>новама чији је оснивач општина Горњи М</w:t>
      </w:r>
      <w:r w:rsidRPr="00C73DF0">
        <w:rPr>
          <w:rFonts w:eastAsiaTheme="minorHAnsi"/>
          <w:bCs/>
          <w:color w:val="000000"/>
        </w:rPr>
        <w:t>илановац за 2015.</w:t>
      </w:r>
      <w:r>
        <w:rPr>
          <w:rFonts w:eastAsiaTheme="minorHAnsi"/>
          <w:bCs/>
          <w:color w:val="000000"/>
        </w:rPr>
        <w:t xml:space="preserve"> </w:t>
      </w:r>
      <w:r w:rsidRPr="00C73DF0">
        <w:rPr>
          <w:rFonts w:eastAsiaTheme="minorHAnsi"/>
          <w:bCs/>
          <w:color w:val="000000"/>
        </w:rPr>
        <w:t>годину</w:t>
      </w:r>
      <w:r w:rsidRPr="00064002">
        <w:rPr>
          <w:rFonts w:ascii="TimesNewRoman" w:eastAsiaTheme="minorHAnsi" w:hAnsi="TimesNewRoman" w:cs="TimesNewRoman"/>
          <w:sz w:val="19"/>
          <w:szCs w:val="19"/>
        </w:rPr>
        <w:t xml:space="preserve"> </w:t>
      </w:r>
      <w:r w:rsidRPr="00064002">
        <w:rPr>
          <w:rFonts w:ascii="TimesNewRoman" w:eastAsiaTheme="minorHAnsi" w:hAnsi="TimesNewRoman" w:cs="TimesNewRoman"/>
        </w:rPr>
        <w:t>(„Сл.гласник општине Горњи Милановац“, бр. 27/2015</w:t>
      </w:r>
      <w:r w:rsidR="00BA67F3" w:rsidRPr="00BA67F3">
        <w:rPr>
          <w:rFonts w:ascii="TimesNewRoman" w:eastAsiaTheme="minorHAnsi" w:hAnsi="TimesNewRoman" w:cs="TimesNewRoman"/>
        </w:rPr>
        <w:t>,</w:t>
      </w:r>
      <w:r w:rsidRPr="00BA67F3">
        <w:rPr>
          <w:rFonts w:ascii="TimesNewRoman" w:eastAsiaTheme="minorHAnsi" w:hAnsi="TimesNewRoman" w:cs="TimesNewRoman"/>
        </w:rPr>
        <w:t xml:space="preserve"> 28/2016</w:t>
      </w:r>
      <w:r w:rsidR="00BA67F3" w:rsidRPr="00BA67F3">
        <w:rPr>
          <w:rFonts w:ascii="TimesNewRoman" w:eastAsiaTheme="minorHAnsi" w:hAnsi="TimesNewRoman" w:cs="TimesNewRoman"/>
        </w:rPr>
        <w:t xml:space="preserve"> и 2/2017</w:t>
      </w:r>
      <w:r w:rsidRPr="00BA67F3">
        <w:rPr>
          <w:rFonts w:ascii="TimesNewRoman" w:eastAsiaTheme="minorHAnsi" w:hAnsi="TimesNewRoman" w:cs="TimesNewRoman"/>
        </w:rPr>
        <w:t>)</w:t>
      </w:r>
      <w:r w:rsidRPr="00BA67F3">
        <w:rPr>
          <w:rFonts w:eastAsiaTheme="minorHAnsi"/>
          <w:bCs/>
          <w:color w:val="000000"/>
        </w:rPr>
        <w:t>.</w:t>
      </w:r>
      <w:r w:rsidRPr="00C73DF0">
        <w:rPr>
          <w:rFonts w:eastAsiaTheme="minorHAnsi"/>
          <w:bCs/>
          <w:color w:val="000000"/>
        </w:rPr>
        <w:t xml:space="preserve"> </w:t>
      </w:r>
      <w:r w:rsidRPr="00C73DF0">
        <w:rPr>
          <w:color w:val="000000"/>
        </w:rPr>
        <w:t xml:space="preserve">Овом одлуком, утврђен  је конкретно максималан број запослених </w:t>
      </w:r>
      <w:r>
        <w:rPr>
          <w:lang w:val="sr-Cyrl-CS"/>
        </w:rPr>
        <w:t xml:space="preserve">понаособ за сваки организациони облик који се </w:t>
      </w:r>
      <w:r w:rsidRPr="00A84B28">
        <w:rPr>
          <w:lang w:val="sr-Cyrl-CS"/>
        </w:rPr>
        <w:t xml:space="preserve">налази у систему </w:t>
      </w:r>
      <w:r>
        <w:rPr>
          <w:lang w:val="sr-Cyrl-CS"/>
        </w:rPr>
        <w:t>јединице локалне самоуправе (</w:t>
      </w:r>
      <w:r>
        <w:rPr>
          <w:color w:val="000000"/>
        </w:rPr>
        <w:t>органима општине</w:t>
      </w:r>
      <w:r w:rsidRPr="000C35BA">
        <w:rPr>
          <w:color w:val="000000"/>
        </w:rPr>
        <w:t>, јавним предузећима и установама чији је оснивач општина Горњи Милановац</w:t>
      </w:r>
      <w:r>
        <w:rPr>
          <w:color w:val="000000"/>
        </w:rPr>
        <w:t xml:space="preserve">), а на укупном нивоу од </w:t>
      </w:r>
      <w:r w:rsidRPr="00BA67F3">
        <w:rPr>
          <w:b/>
          <w:color w:val="000000"/>
        </w:rPr>
        <w:t>498 запослених.</w:t>
      </w:r>
    </w:p>
    <w:p w:rsidR="00346C35" w:rsidRDefault="00346C35" w:rsidP="008730A0">
      <w:pPr>
        <w:autoSpaceDE w:val="0"/>
        <w:autoSpaceDN w:val="0"/>
        <w:adjustRightInd w:val="0"/>
        <w:ind w:firstLine="720"/>
        <w:jc w:val="both"/>
        <w:rPr>
          <w:rStyle w:val="Strong"/>
          <w:b w:val="0"/>
        </w:rPr>
      </w:pPr>
    </w:p>
    <w:p w:rsidR="00346C35" w:rsidRPr="00831A43" w:rsidRDefault="00346C35" w:rsidP="008730A0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</w:rPr>
      </w:pPr>
      <w:r w:rsidRPr="005C07F5">
        <w:rPr>
          <w:rStyle w:val="Strong"/>
          <w:b w:val="0"/>
        </w:rPr>
        <w:t xml:space="preserve">Влада Републике Србије донела је 20. јуна 2017. године Одлуку о максималном броју запослених на неодређено време у систему државних органа, систему јавних служби, и систему локалне самоуправе за 2017. </w:t>
      </w:r>
      <w:r>
        <w:rPr>
          <w:rStyle w:val="Strong"/>
          <w:b w:val="0"/>
        </w:rPr>
        <w:t>г</w:t>
      </w:r>
      <w:r w:rsidRPr="005C07F5">
        <w:rPr>
          <w:rStyle w:val="Strong"/>
          <w:b w:val="0"/>
        </w:rPr>
        <w:t>одину</w:t>
      </w:r>
      <w:r>
        <w:rPr>
          <w:rStyle w:val="Strong"/>
          <w:b w:val="0"/>
        </w:rPr>
        <w:t xml:space="preserve"> којом је утврђено да </w:t>
      </w:r>
      <w:r w:rsidRPr="00831A43">
        <w:rPr>
          <w:b/>
        </w:rPr>
        <w:t>максималан број запослених</w:t>
      </w:r>
      <w:r w:rsidRPr="00831A43">
        <w:t xml:space="preserve"> на неодређено време у систему локалне самоуправе </w:t>
      </w:r>
      <w:r w:rsidRPr="00831A43">
        <w:rPr>
          <w:b/>
        </w:rPr>
        <w:t>општине Горњи Милановац износи 491.</w:t>
      </w:r>
    </w:p>
    <w:p w:rsidR="001209C6" w:rsidRDefault="001209C6" w:rsidP="008730A0">
      <w:pPr>
        <w:tabs>
          <w:tab w:val="left" w:pos="1320"/>
        </w:tabs>
        <w:ind w:firstLine="720"/>
        <w:jc w:val="both"/>
      </w:pPr>
    </w:p>
    <w:p w:rsidR="003734B7" w:rsidRDefault="003734B7" w:rsidP="008730A0">
      <w:pPr>
        <w:tabs>
          <w:tab w:val="left" w:pos="132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Програм оптимизације јавног сектора у </w:t>
      </w:r>
      <w:r>
        <w:t>периоду 2015</w:t>
      </w:r>
      <w:r w:rsidR="008B1EF1">
        <w:t xml:space="preserve"> </w:t>
      </w:r>
      <w:r>
        <w:t>-</w:t>
      </w:r>
      <w:r w:rsidR="008B1EF1">
        <w:t xml:space="preserve"> </w:t>
      </w:r>
      <w:r>
        <w:t>201</w:t>
      </w:r>
      <w:r w:rsidR="00C73DF0">
        <w:t>8</w:t>
      </w:r>
      <w:r>
        <w:t>.</w:t>
      </w:r>
      <w:r>
        <w:rPr>
          <w:lang w:val="sr-Cyrl-CS"/>
        </w:rPr>
        <w:t xml:space="preserve"> године као једна од основних компоненти структурних реформи јавног сектора требало би да покаже на који начин, којом динамиком и мерама се може спровести смањење броја запослених, а да се не наруши делотворност и функционисање система државне управе и да се кроз функционално и организационо реструктуирање изврши реорганизација јавног сектора.</w:t>
      </w:r>
      <w:r>
        <w:t xml:space="preserve"> </w:t>
      </w:r>
      <w:r w:rsidR="002A0031">
        <w:rPr>
          <w:lang w:val="sr-Cyrl-CS"/>
        </w:rPr>
        <w:t>То подразумева и у 2018</w:t>
      </w:r>
      <w:r>
        <w:rPr>
          <w:lang w:val="sr-Cyrl-CS"/>
        </w:rPr>
        <w:t>. године процес рационализације тј.</w:t>
      </w:r>
      <w:r>
        <w:t xml:space="preserve"> </w:t>
      </w:r>
      <w:r>
        <w:rPr>
          <w:lang w:val="sr-Cyrl-CS"/>
        </w:rPr>
        <w:t>смањења броја запослених, имајући у вид</w:t>
      </w:r>
      <w:r w:rsidR="00C73DF0">
        <w:rPr>
          <w:lang w:val="sr-Cyrl-CS"/>
        </w:rPr>
        <w:t>у обавезу да у периоду 2015-2018</w:t>
      </w:r>
      <w:r w:rsidR="00346C35">
        <w:rPr>
          <w:lang w:val="sr-Cyrl-CS"/>
        </w:rPr>
        <w:t xml:space="preserve">. јавну потрошњу годишње </w:t>
      </w:r>
      <w:r>
        <w:rPr>
          <w:lang w:val="sr-Cyrl-CS"/>
        </w:rPr>
        <w:t>треба смањити за 5%.</w:t>
      </w:r>
    </w:p>
    <w:p w:rsidR="009108B8" w:rsidRPr="00395A01" w:rsidRDefault="009108B8" w:rsidP="008730A0">
      <w:pPr>
        <w:tabs>
          <w:tab w:val="left" w:pos="1320"/>
        </w:tabs>
        <w:autoSpaceDE w:val="0"/>
        <w:autoSpaceDN w:val="0"/>
        <w:adjustRightInd w:val="0"/>
      </w:pPr>
    </w:p>
    <w:p w:rsidR="009108B8" w:rsidRPr="002F3F26" w:rsidRDefault="009108B8" w:rsidP="008730A0">
      <w:pPr>
        <w:ind w:firstLine="720"/>
        <w:jc w:val="both"/>
        <w:rPr>
          <w:b/>
        </w:rPr>
      </w:pPr>
      <w:r w:rsidRPr="002F3F26">
        <w:rPr>
          <w:b/>
        </w:rPr>
        <w:lastRenderedPageBreak/>
        <w:t xml:space="preserve"> Планирање издатака капиталног пројекта</w:t>
      </w:r>
    </w:p>
    <w:p w:rsidR="009108B8" w:rsidRPr="007F28FC" w:rsidRDefault="009108B8" w:rsidP="008730A0">
      <w:pPr>
        <w:ind w:firstLine="720"/>
        <w:jc w:val="both"/>
        <w:rPr>
          <w:b/>
        </w:rPr>
      </w:pPr>
    </w:p>
    <w:p w:rsidR="009108B8" w:rsidRPr="002F3F26" w:rsidRDefault="009108B8" w:rsidP="008730A0">
      <w:pPr>
        <w:ind w:firstLine="720"/>
        <w:jc w:val="both"/>
      </w:pPr>
      <w:r w:rsidRPr="002F3F26">
        <w:t>Ради ефикаснијег планирања и припреме, поступајући у складу са законским одредбама, корисници буџетских средстава дужни су да органу надлежном за послове финансија доставе планиране капиталне пројекте за буџетску и наредне две го</w:t>
      </w:r>
      <w:r w:rsidR="004C5F5A" w:rsidRPr="002F3F26">
        <w:t>дине, приказане у табели (</w:t>
      </w:r>
      <w:r w:rsidR="004C5F5A" w:rsidRPr="00BA67F3">
        <w:t>Табел</w:t>
      </w:r>
      <w:r w:rsidR="004C5F5A" w:rsidRPr="00BA67F3">
        <w:rPr>
          <w:lang w:val="sr-Cyrl-CS"/>
        </w:rPr>
        <w:t>е</w:t>
      </w:r>
      <w:r w:rsidRPr="00BA67F3">
        <w:t xml:space="preserve"> </w:t>
      </w:r>
      <w:r w:rsidR="007F28FC" w:rsidRPr="00BA67F3">
        <w:t>6</w:t>
      </w:r>
      <w:r w:rsidRPr="00BA67F3">
        <w:t>.</w:t>
      </w:r>
      <w:r w:rsidR="002D7177" w:rsidRPr="00BA67F3">
        <w:rPr>
          <w:lang w:val="sr-Cyrl-CS"/>
        </w:rPr>
        <w:t xml:space="preserve"> и </w:t>
      </w:r>
      <w:r w:rsidR="007F28FC" w:rsidRPr="00BA67F3">
        <w:t>6</w:t>
      </w:r>
      <w:r w:rsidR="004C5F5A" w:rsidRPr="00BA67F3">
        <w:rPr>
          <w:lang w:val="sr-Cyrl-CS"/>
        </w:rPr>
        <w:t>а</w:t>
      </w:r>
      <w:r w:rsidR="004C5F5A" w:rsidRPr="002F3F26">
        <w:rPr>
          <w:lang w:val="sr-Cyrl-CS"/>
        </w:rPr>
        <w:t>.</w:t>
      </w:r>
      <w:r w:rsidRPr="002F3F26">
        <w:t xml:space="preserve"> Преглед капиталн</w:t>
      </w:r>
      <w:r w:rsidR="004C5F5A" w:rsidRPr="002F3F26">
        <w:t>их пројеката</w:t>
      </w:r>
      <w:r w:rsidR="009C5B74">
        <w:t xml:space="preserve"> који се</w:t>
      </w:r>
      <w:r w:rsidR="004C5F5A" w:rsidRPr="002F3F26">
        <w:t xml:space="preserve"> даје у Прилогу). У наведеним та</w:t>
      </w:r>
      <w:r w:rsidR="004C5F5A" w:rsidRPr="002F3F26">
        <w:rPr>
          <w:lang w:val="sr-Cyrl-CS"/>
        </w:rPr>
        <w:t>б</w:t>
      </w:r>
      <w:r w:rsidRPr="002F3F26">
        <w:t xml:space="preserve">елама, корисници су у обавези да искажу планиране издатке за капиталне пројекте  по годинама који се односе на изградњу и капитално одржавање, по контима на трећем и четвртом нивоу, и то: </w:t>
      </w:r>
    </w:p>
    <w:p w:rsidR="00642E77" w:rsidRPr="002F3F26" w:rsidRDefault="00642E77" w:rsidP="008730A0">
      <w:pPr>
        <w:ind w:firstLine="720"/>
        <w:jc w:val="both"/>
      </w:pP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израду пројектно-техничке документације на конту 5114 (осим уколико је иста већ израђена);</w:t>
      </w: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експропријацију земљишта на конту 5411;</w:t>
      </w: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извођење радова на изградњи, односно извођење радова на капиталном одржавању на контима 5112 и 5113;</w:t>
      </w:r>
    </w:p>
    <w:p w:rsidR="009108B8" w:rsidRPr="002F3F26" w:rsidRDefault="009108B8" w:rsidP="008730A0">
      <w:pPr>
        <w:pStyle w:val="ListParagraph"/>
        <w:numPr>
          <w:ilvl w:val="0"/>
          <w:numId w:val="13"/>
        </w:numPr>
        <w:jc w:val="both"/>
      </w:pPr>
      <w:r w:rsidRPr="002F3F26">
        <w:t xml:space="preserve">издатке за ангажовање стручног надзора на конту 5114 (осим уколико исти нису </w:t>
      </w:r>
      <w:r w:rsidR="004C5F5A" w:rsidRPr="002F3F26">
        <w:t xml:space="preserve">планирани од стране </w:t>
      </w:r>
      <w:r w:rsidR="004C5F5A" w:rsidRPr="002F3F26">
        <w:rPr>
          <w:lang w:val="sr-Cyrl-CS"/>
        </w:rPr>
        <w:t>и</w:t>
      </w:r>
      <w:r w:rsidRPr="002F3F26">
        <w:t>нвеститора или на неки други начин).</w:t>
      </w:r>
    </w:p>
    <w:p w:rsidR="00AB1596" w:rsidRPr="002F3F26" w:rsidRDefault="00AB1596" w:rsidP="008730A0">
      <w:pPr>
        <w:pStyle w:val="ListParagraph"/>
        <w:jc w:val="both"/>
      </w:pPr>
    </w:p>
    <w:p w:rsidR="009108B8" w:rsidRPr="002F3F26" w:rsidRDefault="009108B8" w:rsidP="008730A0">
      <w:pPr>
        <w:ind w:firstLine="720"/>
        <w:jc w:val="both"/>
      </w:pPr>
      <w:r w:rsidRPr="002F3F26">
        <w:t xml:space="preserve">У циљу реалног планирања издатака капиталног пројекта, неопходно је да корисници образложе тренутни статус дозвола и сагласност (локацијска, грађевинска дозвола, сагласности одговарајућих јавних предузећа) које су неопходне за почетак извођења радова. Корисници су дужни да планирају расходе, који су у вези са добијањем ових дозвола и сагласности, на одговарајућим контима. </w:t>
      </w:r>
    </w:p>
    <w:p w:rsidR="00AB1596" w:rsidRPr="002F3F26" w:rsidRDefault="00AB1596" w:rsidP="008730A0">
      <w:pPr>
        <w:ind w:firstLine="720"/>
        <w:jc w:val="both"/>
        <w:rPr>
          <w:lang w:val="sr-Cyrl-CS"/>
        </w:rPr>
      </w:pPr>
    </w:p>
    <w:p w:rsidR="009108B8" w:rsidRPr="002F3F26" w:rsidRDefault="009108B8" w:rsidP="008730A0">
      <w:pPr>
        <w:ind w:firstLine="720"/>
        <w:jc w:val="both"/>
      </w:pPr>
      <w:r w:rsidRPr="002F3F26">
        <w:t>Такође, на основу свеобухватне процене потреба, пројекте је потребно рангирати по приоритетима, у складу са усвојеним стратешким документима, водећи рачуна да приоритет у финансирању имају већ започети пројекти.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 xml:space="preserve">Чланом 22. Закона о буџетском систему дефинисано је да Одлука о буџету и финансијски план директног, односно индиректног корисника буџетских средстава садржи </w:t>
      </w:r>
      <w:r w:rsidRPr="002F3F26">
        <w:rPr>
          <w:b/>
          <w:u w:val="single"/>
          <w:lang w:val="sr-Cyrl-CS"/>
        </w:rPr>
        <w:t>план сопствених прихода</w:t>
      </w:r>
      <w:r w:rsidRPr="002F3F26">
        <w:rPr>
          <w:lang w:val="sr-Cyrl-CS"/>
        </w:rPr>
        <w:t>, као и план њиховог трошења.</w:t>
      </w:r>
    </w:p>
    <w:p w:rsidR="00FF2232" w:rsidRPr="002F3F26" w:rsidRDefault="00FF2232" w:rsidP="008730A0">
      <w:pPr>
        <w:jc w:val="both"/>
        <w:rPr>
          <w:b/>
          <w:lang w:val="sr-Cyrl-CS"/>
        </w:rPr>
      </w:pPr>
    </w:p>
    <w:p w:rsidR="00FF2232" w:rsidRPr="002F3F26" w:rsidRDefault="00FF2232" w:rsidP="008730A0">
      <w:pPr>
        <w:ind w:firstLine="720"/>
        <w:jc w:val="both"/>
        <w:rPr>
          <w:b/>
          <w:lang w:val="sr-Cyrl-CS"/>
        </w:rPr>
      </w:pPr>
      <w:r w:rsidRPr="002F3F26">
        <w:rPr>
          <w:b/>
          <w:lang w:val="sr-Cyrl-CS"/>
        </w:rPr>
        <w:t>Напомене везане за попуњавање табел</w:t>
      </w:r>
      <w:r w:rsidRPr="002F3F26">
        <w:rPr>
          <w:b/>
          <w:lang w:val="en-GB"/>
        </w:rPr>
        <w:t>a</w:t>
      </w:r>
      <w:r w:rsidRPr="002F3F26">
        <w:rPr>
          <w:b/>
          <w:lang w:val="sr-Cyrl-CS"/>
        </w:rPr>
        <w:t>:</w:t>
      </w:r>
    </w:p>
    <w:p w:rsidR="00944D27" w:rsidRPr="002F3F26" w:rsidRDefault="00944D27" w:rsidP="008730A0">
      <w:pPr>
        <w:ind w:firstLine="720"/>
        <w:jc w:val="both"/>
        <w:rPr>
          <w:b/>
          <w:lang w:val="sr-Cyrl-CS"/>
        </w:rPr>
      </w:pPr>
    </w:p>
    <w:p w:rsidR="00FF2232" w:rsidRPr="002F3F26" w:rsidRDefault="00FF2232" w:rsidP="008730A0">
      <w:pPr>
        <w:numPr>
          <w:ilvl w:val="0"/>
          <w:numId w:val="4"/>
        </w:numPr>
        <w:jc w:val="both"/>
        <w:rPr>
          <w:lang w:val="sr-Cyrl-CS"/>
        </w:rPr>
      </w:pPr>
      <w:r w:rsidRPr="002F3F26">
        <w:rPr>
          <w:lang w:val="sr-Cyrl-CS"/>
        </w:rPr>
        <w:t>Табеле се достављају у штампаном облику, са печатом и потписом функционера буџетског корисника;</w:t>
      </w:r>
    </w:p>
    <w:p w:rsidR="00FF2232" w:rsidRPr="002F3F26" w:rsidRDefault="00FF2232" w:rsidP="008730A0">
      <w:pPr>
        <w:numPr>
          <w:ilvl w:val="0"/>
          <w:numId w:val="4"/>
        </w:numPr>
        <w:jc w:val="both"/>
        <w:rPr>
          <w:lang w:val="sr-Cyrl-CS"/>
        </w:rPr>
      </w:pPr>
      <w:r w:rsidRPr="002F3F26">
        <w:rPr>
          <w:lang w:val="sr-Cyrl-CS"/>
        </w:rPr>
        <w:t>У табелама се попуњавају само бела поља;</w:t>
      </w:r>
    </w:p>
    <w:p w:rsidR="00FF2232" w:rsidRPr="002F3F26" w:rsidRDefault="00FF2232" w:rsidP="008730A0">
      <w:pPr>
        <w:numPr>
          <w:ilvl w:val="0"/>
          <w:numId w:val="3"/>
        </w:numPr>
        <w:jc w:val="both"/>
        <w:rPr>
          <w:lang w:val="sr-Cyrl-CS"/>
        </w:rPr>
      </w:pPr>
      <w:r w:rsidRPr="002F3F26">
        <w:rPr>
          <w:lang w:val="sr-Cyrl-CS"/>
        </w:rPr>
        <w:t xml:space="preserve">Не уносе се зарези, односно тачке, с обзиром да су поља форматирана тако да се ови сепаратори аутоматски додељују по уношењу цифре. </w:t>
      </w:r>
    </w:p>
    <w:p w:rsidR="00FF2232" w:rsidRPr="002F3F26" w:rsidRDefault="00FF2232" w:rsidP="008730A0">
      <w:pPr>
        <w:jc w:val="both"/>
        <w:rPr>
          <w:b/>
          <w:lang w:val="sr-Cyrl-CS"/>
        </w:rPr>
      </w:pPr>
    </w:p>
    <w:p w:rsidR="00F57C53" w:rsidRDefault="00FF2232" w:rsidP="008730A0">
      <w:pPr>
        <w:ind w:firstLine="680"/>
        <w:jc w:val="both"/>
        <w:rPr>
          <w:lang w:val="sr-Cyrl-CS"/>
        </w:rPr>
      </w:pPr>
      <w:r w:rsidRPr="002F3F26">
        <w:rPr>
          <w:b/>
          <w:lang w:val="sr-Cyrl-CS"/>
        </w:rPr>
        <w:t>Упутство и табеле</w:t>
      </w:r>
      <w:r w:rsidR="009409DB">
        <w:rPr>
          <w:lang w:val="sr-Cyrl-CS"/>
        </w:rPr>
        <w:t xml:space="preserve"> можете преузети са</w:t>
      </w:r>
      <w:r w:rsidR="009409DB">
        <w:t xml:space="preserve"> </w:t>
      </w:r>
      <w:r w:rsidR="00E830DB">
        <w:rPr>
          <w:lang w:val="sr-Cyrl-CS"/>
        </w:rPr>
        <w:t>сајта</w:t>
      </w:r>
      <w:r w:rsidRPr="002F3F26">
        <w:rPr>
          <w:lang w:val="sr-Cyrl-CS"/>
        </w:rPr>
        <w:t xml:space="preserve"> </w:t>
      </w:r>
      <w:hyperlink r:id="rId8" w:history="1">
        <w:r w:rsidRPr="002F3F26">
          <w:rPr>
            <w:rStyle w:val="Hyperlink"/>
            <w:b/>
            <w:lang w:val="sr-Latn-CS"/>
          </w:rPr>
          <w:t>www.gornjimilanovac.rs</w:t>
        </w:r>
      </w:hyperlink>
      <w:r w:rsidRPr="002F3F26">
        <w:rPr>
          <w:lang w:val="sr-Cyrl-CS"/>
        </w:rPr>
        <w:t xml:space="preserve"> </w:t>
      </w:r>
      <w:r w:rsidR="00E830DB">
        <w:rPr>
          <w:lang w:val="sr-Cyrl-CS"/>
        </w:rPr>
        <w:t>под називом</w:t>
      </w:r>
      <w:r w:rsidRPr="002F3F26">
        <w:rPr>
          <w:lang w:val="sr-Cyrl-CS"/>
        </w:rPr>
        <w:t xml:space="preserve"> </w:t>
      </w:r>
      <w:r w:rsidR="00F57C53">
        <w:rPr>
          <w:lang w:val="sr-Cyrl-CS"/>
        </w:rPr>
        <w:t>У</w:t>
      </w:r>
      <w:r w:rsidR="00F57C53" w:rsidRPr="00F57C53">
        <w:rPr>
          <w:lang w:val="sr-Cyrl-CS"/>
        </w:rPr>
        <w:t>путство за припрему буџета о</w:t>
      </w:r>
      <w:r w:rsidR="00F57C53">
        <w:rPr>
          <w:lang w:val="sr-Cyrl-CS"/>
        </w:rPr>
        <w:t>пштине Горњи М</w:t>
      </w:r>
      <w:r w:rsidR="00F57C53" w:rsidRPr="00F57C53">
        <w:rPr>
          <w:lang w:val="sr-Cyrl-CS"/>
        </w:rPr>
        <w:t>илановац за 20</w:t>
      </w:r>
      <w:r w:rsidR="00F57C53" w:rsidRPr="00F57C53">
        <w:t>1</w:t>
      </w:r>
      <w:r w:rsidR="00E35CF1">
        <w:t>8</w:t>
      </w:r>
      <w:r w:rsidR="00F57C53" w:rsidRPr="00F57C53">
        <w:rPr>
          <w:lang w:val="sr-Cyrl-CS"/>
        </w:rPr>
        <w:t xml:space="preserve">. </w:t>
      </w:r>
      <w:r w:rsidR="00F57C53">
        <w:rPr>
          <w:lang w:val="sr-Cyrl-CS"/>
        </w:rPr>
        <w:t>г</w:t>
      </w:r>
      <w:r w:rsidR="00F57C53" w:rsidRPr="00F57C53">
        <w:rPr>
          <w:lang w:val="sr-Cyrl-CS"/>
        </w:rPr>
        <w:t>одину</w:t>
      </w:r>
      <w:r w:rsidR="00F57C53">
        <w:rPr>
          <w:lang w:val="sr-Cyrl-CS"/>
        </w:rPr>
        <w:t>.</w:t>
      </w:r>
    </w:p>
    <w:p w:rsidR="0074081F" w:rsidRPr="00F57C53" w:rsidRDefault="0074081F" w:rsidP="008730A0">
      <w:pPr>
        <w:jc w:val="both"/>
        <w:rPr>
          <w:lang w:val="sr-Cyrl-CS"/>
        </w:rPr>
      </w:pPr>
    </w:p>
    <w:p w:rsidR="00FF2232" w:rsidRPr="006E24F9" w:rsidRDefault="00FF2232" w:rsidP="008730A0">
      <w:pPr>
        <w:ind w:firstLine="720"/>
        <w:jc w:val="both"/>
      </w:pPr>
      <w:r w:rsidRPr="002F3F26">
        <w:rPr>
          <w:lang w:val="sr-Cyrl-CS"/>
        </w:rPr>
        <w:t>Рок за достављање предлога финансијских планова директних и и</w:t>
      </w:r>
      <w:r w:rsidR="006E24F9">
        <w:rPr>
          <w:lang w:val="sr-Cyrl-CS"/>
        </w:rPr>
        <w:t xml:space="preserve">ндиректних корисника Одељењу за </w:t>
      </w:r>
      <w:r w:rsidR="006E24F9">
        <w:t>финансије, рачуноводство и локалну пореску администрацију</w:t>
      </w:r>
      <w:r w:rsidR="006E24F9" w:rsidRPr="002F3F26">
        <w:rPr>
          <w:lang w:val="sr-Cyrl-CS"/>
        </w:rPr>
        <w:t xml:space="preserve"> </w:t>
      </w:r>
      <w:r w:rsidRPr="002F3F26">
        <w:rPr>
          <w:lang w:val="sr-Cyrl-CS"/>
        </w:rPr>
        <w:t xml:space="preserve">је </w:t>
      </w:r>
      <w:r w:rsidR="000848E2" w:rsidRPr="002F3F26">
        <w:rPr>
          <w:b/>
          <w:lang w:val="sr-Cyrl-CS"/>
        </w:rPr>
        <w:t>1.</w:t>
      </w:r>
      <w:r w:rsidR="000F3757" w:rsidRPr="002F3F26">
        <w:rPr>
          <w:b/>
          <w:lang w:val="en-GB"/>
        </w:rPr>
        <w:t xml:space="preserve"> </w:t>
      </w:r>
      <w:r w:rsidR="00CE6CF2">
        <w:rPr>
          <w:b/>
          <w:lang w:val="sr-Cyrl-CS"/>
        </w:rPr>
        <w:t>септембар 2017</w:t>
      </w:r>
      <w:r w:rsidR="000848E2" w:rsidRPr="002F3F26">
        <w:rPr>
          <w:b/>
          <w:lang w:val="sr-Cyrl-CS"/>
        </w:rPr>
        <w:t>.</w:t>
      </w:r>
      <w:r w:rsidR="000F3757" w:rsidRPr="002F3F26">
        <w:rPr>
          <w:b/>
          <w:lang w:val="en-GB"/>
        </w:rPr>
        <w:t xml:space="preserve"> </w:t>
      </w:r>
      <w:r w:rsidR="000848E2" w:rsidRPr="002F3F26">
        <w:rPr>
          <w:b/>
          <w:lang w:val="sr-Cyrl-CS"/>
        </w:rPr>
        <w:t>године</w:t>
      </w:r>
      <w:r w:rsidR="000F3757" w:rsidRPr="002F3F26">
        <w:rPr>
          <w:b/>
          <w:lang w:val="en-GB"/>
        </w:rPr>
        <w:t>.</w:t>
      </w:r>
    </w:p>
    <w:p w:rsidR="00AB1596" w:rsidRPr="002F3F26" w:rsidRDefault="00AB1596" w:rsidP="008730A0">
      <w:pPr>
        <w:jc w:val="both"/>
        <w:rPr>
          <w:b/>
          <w:lang w:val="sr-Cyrl-CS"/>
        </w:rPr>
      </w:pPr>
    </w:p>
    <w:p w:rsidR="00D539E5" w:rsidRPr="002F3F26" w:rsidRDefault="00D539E5" w:rsidP="008730A0">
      <w:pPr>
        <w:jc w:val="both"/>
        <w:rPr>
          <w:b/>
          <w:lang w:val="sr-Cyrl-CS"/>
        </w:rPr>
      </w:pPr>
    </w:p>
    <w:p w:rsidR="00FF2232" w:rsidRPr="002F3F26" w:rsidRDefault="007D0A79" w:rsidP="008730A0">
      <w:pPr>
        <w:ind w:firstLine="720"/>
        <w:jc w:val="both"/>
        <w:rPr>
          <w:b/>
          <w:lang w:val="sr-Cyrl-CS"/>
        </w:rPr>
      </w:pPr>
      <w:r w:rsidRPr="002F3F26">
        <w:rPr>
          <w:b/>
          <w:lang w:val="sr-Cyrl-CS"/>
        </w:rPr>
        <w:lastRenderedPageBreak/>
        <w:t xml:space="preserve">НАПОМЕНА: </w:t>
      </w:r>
      <w:r w:rsidR="005F47FF" w:rsidRPr="002F3F26">
        <w:rPr>
          <w:lang w:val="sr-Cyrl-CS"/>
        </w:rPr>
        <w:t>По усвајању</w:t>
      </w:r>
      <w:r w:rsidR="005F47FF" w:rsidRPr="002F3F26">
        <w:t xml:space="preserve"> </w:t>
      </w:r>
      <w:r w:rsidR="005F47FF" w:rsidRPr="002F3F26">
        <w:rPr>
          <w:lang w:val="sr-Cyrl-CS"/>
        </w:rPr>
        <w:t>Фискалне стратегије за 201</w:t>
      </w:r>
      <w:r w:rsidR="0005057F">
        <w:rPr>
          <w:lang w:val="sr-Cyrl-CS"/>
        </w:rPr>
        <w:t>8</w:t>
      </w:r>
      <w:r w:rsidR="005F47FF" w:rsidRPr="002F3F26">
        <w:rPr>
          <w:lang w:val="sr-Cyrl-CS"/>
        </w:rPr>
        <w:t>. годину са пројекцијама за 201</w:t>
      </w:r>
      <w:r w:rsidR="0005057F">
        <w:rPr>
          <w:lang w:val="sr-Cyrl-CS"/>
        </w:rPr>
        <w:t>9. и 2020</w:t>
      </w:r>
      <w:r w:rsidR="00D539E5" w:rsidRPr="002F3F26">
        <w:rPr>
          <w:lang w:val="sr-Cyrl-CS"/>
        </w:rPr>
        <w:t>. годину од стране Владе Републике Србије</w:t>
      </w:r>
      <w:r w:rsidR="006354FE" w:rsidRPr="002F3F26">
        <w:rPr>
          <w:lang w:val="sr-Cyrl-CS"/>
        </w:rPr>
        <w:t xml:space="preserve"> и доношењу </w:t>
      </w:r>
      <w:r w:rsidR="006354FE" w:rsidRPr="00A86058">
        <w:rPr>
          <w:b/>
          <w:lang w:val="sr-Cyrl-CS"/>
        </w:rPr>
        <w:t>Упутства за припрему одлуке</w:t>
      </w:r>
      <w:r w:rsidR="0005057F">
        <w:rPr>
          <w:b/>
          <w:lang w:val="sr-Cyrl-CS"/>
        </w:rPr>
        <w:t xml:space="preserve"> о буџету локалне власти за 2018</w:t>
      </w:r>
      <w:r w:rsidR="006354FE" w:rsidRPr="00A86058">
        <w:rPr>
          <w:b/>
          <w:lang w:val="sr-Cyrl-CS"/>
        </w:rPr>
        <w:t>. годину</w:t>
      </w:r>
      <w:r w:rsidR="006354FE" w:rsidRPr="002F3F26">
        <w:rPr>
          <w:lang w:val="sr-Cyrl-CS"/>
        </w:rPr>
        <w:t>, који садрже</w:t>
      </w:r>
      <w:r w:rsidR="00D539E5" w:rsidRPr="002F3F26">
        <w:rPr>
          <w:lang w:val="sr-Cyrl-CS"/>
        </w:rPr>
        <w:t xml:space="preserve"> конкретне параметре за </w:t>
      </w:r>
      <w:r w:rsidR="00A85AFC" w:rsidRPr="002F3F26">
        <w:rPr>
          <w:lang w:val="sr-Cyrl-CS"/>
        </w:rPr>
        <w:t xml:space="preserve">утврђивање висине </w:t>
      </w:r>
      <w:r w:rsidR="00D539E5" w:rsidRPr="002F3F26">
        <w:rPr>
          <w:lang w:val="sr-Cyrl-CS"/>
        </w:rPr>
        <w:t xml:space="preserve">појединих врста </w:t>
      </w:r>
      <w:r w:rsidR="00A85AFC" w:rsidRPr="002F3F26">
        <w:rPr>
          <w:lang w:val="sr-Cyrl-CS"/>
        </w:rPr>
        <w:t>расхода</w:t>
      </w:r>
      <w:r w:rsidR="00D539E5" w:rsidRPr="002F3F26">
        <w:rPr>
          <w:lang w:val="sr-Cyrl-CS"/>
        </w:rPr>
        <w:t>, пре свега, плата,</w:t>
      </w:r>
      <w:r w:rsidR="00A85AFC" w:rsidRPr="002F3F26">
        <w:rPr>
          <w:lang w:val="sr-Cyrl-CS"/>
        </w:rPr>
        <w:t xml:space="preserve"> као и </w:t>
      </w:r>
      <w:r w:rsidR="00A85AFC" w:rsidRPr="00422D00">
        <w:rPr>
          <w:lang w:val="sr-Cyrl-CS"/>
        </w:rPr>
        <w:t>осталих мера које утичу на јавну потрошњу</w:t>
      </w:r>
      <w:r w:rsidR="00A85AFC" w:rsidRPr="002F3F26">
        <w:rPr>
          <w:lang w:val="sr-Cyrl-CS"/>
        </w:rPr>
        <w:t>, сви буџетски корисници биће благовремено обавештени, како би приступили</w:t>
      </w:r>
      <w:r w:rsidR="006354FE" w:rsidRPr="002F3F26">
        <w:rPr>
          <w:lang w:val="sr-Cyrl-CS"/>
        </w:rPr>
        <w:t xml:space="preserve"> евентуалним </w:t>
      </w:r>
      <w:r w:rsidR="00A85AFC" w:rsidRPr="002F3F26">
        <w:rPr>
          <w:lang w:val="sr-Cyrl-CS"/>
        </w:rPr>
        <w:t xml:space="preserve"> изменама и допунама предлога финансијских планова.</w:t>
      </w:r>
      <w:r w:rsidR="00FF2232" w:rsidRPr="002F3F26">
        <w:rPr>
          <w:b/>
          <w:lang w:val="sr-Cyrl-CS"/>
        </w:rPr>
        <w:tab/>
      </w:r>
      <w:r w:rsidR="00FF2232" w:rsidRPr="002F3F26">
        <w:rPr>
          <w:lang w:val="sr-Cyrl-CS"/>
        </w:rPr>
        <w:tab/>
      </w:r>
    </w:p>
    <w:p w:rsidR="001A3933" w:rsidRPr="002F3F26" w:rsidRDefault="001A3933" w:rsidP="008730A0">
      <w:pPr>
        <w:jc w:val="both"/>
        <w:rPr>
          <w:lang w:val="sr-Cyrl-CS"/>
        </w:rPr>
      </w:pPr>
    </w:p>
    <w:p w:rsidR="00944D27" w:rsidRPr="002F3F26" w:rsidRDefault="00944D27" w:rsidP="008730A0">
      <w:pPr>
        <w:jc w:val="both"/>
        <w:rPr>
          <w:lang w:val="sr-Cyrl-CS"/>
        </w:rPr>
      </w:pPr>
    </w:p>
    <w:p w:rsidR="00DB1477" w:rsidRPr="002F3F26" w:rsidRDefault="00DB1477" w:rsidP="008730A0">
      <w:pPr>
        <w:jc w:val="both"/>
        <w:rPr>
          <w:lang w:val="sr-Cyrl-CS"/>
        </w:rPr>
      </w:pPr>
    </w:p>
    <w:p w:rsidR="00FF2232" w:rsidRPr="0056213E" w:rsidRDefault="00FF2232" w:rsidP="008730A0">
      <w:r w:rsidRPr="002F3F26">
        <w:rPr>
          <w:lang w:val="sr-Cyrl-CS"/>
        </w:rPr>
        <w:t>Број:</w:t>
      </w:r>
      <w:r w:rsidRPr="002F3F26">
        <w:t xml:space="preserve"> </w:t>
      </w:r>
      <w:r w:rsidR="00580994">
        <w:rPr>
          <w:lang w:val="en-GB"/>
        </w:rPr>
        <w:t>4</w:t>
      </w:r>
      <w:r w:rsidR="001209C6">
        <w:rPr>
          <w:lang w:val="en-GB"/>
        </w:rPr>
        <w:t>-04-400-115/</w:t>
      </w:r>
      <w:r w:rsidR="0056213E">
        <w:t>2017</w:t>
      </w:r>
    </w:p>
    <w:p w:rsidR="00FF2232" w:rsidRPr="002F3F26" w:rsidRDefault="001209C6" w:rsidP="008730A0">
      <w:pPr>
        <w:jc w:val="both"/>
        <w:rPr>
          <w:lang w:val="sr-Cyrl-CS"/>
        </w:rPr>
      </w:pPr>
      <w:r>
        <w:t xml:space="preserve">31. јул </w:t>
      </w:r>
      <w:r w:rsidR="000848E2" w:rsidRPr="002F3F26">
        <w:rPr>
          <w:lang w:val="sr-Cyrl-CS"/>
        </w:rPr>
        <w:t>201</w:t>
      </w:r>
      <w:r w:rsidR="0056213E">
        <w:rPr>
          <w:lang w:val="sr-Cyrl-CS"/>
        </w:rPr>
        <w:t>7</w:t>
      </w:r>
      <w:r w:rsidR="000848E2" w:rsidRPr="002F3F26">
        <w:rPr>
          <w:lang w:val="sr-Cyrl-CS"/>
        </w:rPr>
        <w:t>.</w:t>
      </w:r>
      <w:r>
        <w:rPr>
          <w:lang w:val="sr-Cyrl-CS"/>
        </w:rPr>
        <w:t xml:space="preserve"> </w:t>
      </w:r>
      <w:r w:rsidR="000848E2" w:rsidRPr="002F3F26">
        <w:rPr>
          <w:lang w:val="sr-Cyrl-CS"/>
        </w:rPr>
        <w:t>године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>Горњи Милановац</w:t>
      </w:r>
    </w:p>
    <w:p w:rsidR="00AB1596" w:rsidRPr="002F3F26" w:rsidRDefault="00AB1596" w:rsidP="008730A0">
      <w:pPr>
        <w:jc w:val="both"/>
        <w:rPr>
          <w:lang w:val="sr-Cyrl-CS"/>
        </w:rPr>
      </w:pPr>
    </w:p>
    <w:p w:rsidR="009A546F" w:rsidRDefault="009A546F" w:rsidP="008730A0">
      <w:r w:rsidRPr="003E2443">
        <w:rPr>
          <w:lang w:val="sr-Cyrl-CS"/>
        </w:rPr>
        <w:t xml:space="preserve">                       </w:t>
      </w:r>
    </w:p>
    <w:p w:rsidR="009A546F" w:rsidRPr="003E2443" w:rsidRDefault="009A546F" w:rsidP="008730A0">
      <w:pPr>
        <w:ind w:left="1440"/>
        <w:rPr>
          <w:lang w:val="sr-Cyrl-CS"/>
        </w:rPr>
      </w:pPr>
      <w:r w:rsidRPr="003E2443">
        <w:rPr>
          <w:lang w:val="sr-Cyrl-CS"/>
        </w:rPr>
        <w:t>НАЧЕЛНИК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Одељења  за финансије, рачуноводство и 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     локалну пореску администрацију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             Александра Милошевић</w:t>
      </w:r>
    </w:p>
    <w:p w:rsidR="00AB1596" w:rsidRPr="002F3F26" w:rsidRDefault="00AB1596" w:rsidP="008730A0">
      <w:pPr>
        <w:jc w:val="both"/>
        <w:rPr>
          <w:lang w:val="sr-Cyrl-CS"/>
        </w:rPr>
      </w:pPr>
    </w:p>
    <w:p w:rsidR="00944D27" w:rsidRPr="002F3F26" w:rsidRDefault="0068497A" w:rsidP="008730A0">
      <w:pPr>
        <w:rPr>
          <w:lang w:val="sr-Cyrl-CS"/>
        </w:rPr>
      </w:pPr>
      <w:r w:rsidRPr="002F3F26">
        <w:rPr>
          <w:lang w:val="sr-Cyrl-CS"/>
        </w:rPr>
        <w:t xml:space="preserve">                    </w:t>
      </w:r>
    </w:p>
    <w:p w:rsidR="00ED4970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НАЧЕЛНИК</w:t>
      </w:r>
    </w:p>
    <w:p w:rsidR="00BF4C88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ОПШТИНСКЕ УПРАВЕ</w:t>
      </w:r>
    </w:p>
    <w:p w:rsidR="00ED4970" w:rsidRPr="0085646B" w:rsidRDefault="0085646B" w:rsidP="008730A0">
      <w:r>
        <w:t xml:space="preserve">                                                                                                   Александар Јевтовић</w:t>
      </w:r>
    </w:p>
    <w:sectPr w:rsidR="00ED4970" w:rsidRPr="0085646B" w:rsidSect="005C1B5D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07" w:rsidRDefault="00C53B07" w:rsidP="00C934E0">
      <w:r>
        <w:separator/>
      </w:r>
    </w:p>
  </w:endnote>
  <w:endnote w:type="continuationSeparator" w:id="0">
    <w:p w:rsidR="00C53B07" w:rsidRDefault="00C53B07" w:rsidP="00C9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A" w:rsidRDefault="009B218D" w:rsidP="00712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C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CCA" w:rsidRDefault="00FD3CCA" w:rsidP="00712F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249"/>
      <w:docPartObj>
        <w:docPartGallery w:val="Page Numbers (Bottom of Page)"/>
        <w:docPartUnique/>
      </w:docPartObj>
    </w:sdtPr>
    <w:sdtContent>
      <w:p w:rsidR="00FD3CCA" w:rsidRDefault="009B218D">
        <w:pPr>
          <w:pStyle w:val="Footer"/>
          <w:jc w:val="right"/>
        </w:pPr>
        <w:fldSimple w:instr=" PAGE   \* MERGEFORMAT ">
          <w:r w:rsidR="008730A0">
            <w:rPr>
              <w:noProof/>
            </w:rPr>
            <w:t>11</w:t>
          </w:r>
        </w:fldSimple>
      </w:p>
    </w:sdtContent>
  </w:sdt>
  <w:p w:rsidR="00FD3CCA" w:rsidRDefault="00FD3CCA" w:rsidP="00712F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A" w:rsidRDefault="00FD3CCA">
    <w:pPr>
      <w:pStyle w:val="Footer"/>
      <w:jc w:val="right"/>
    </w:pPr>
  </w:p>
  <w:p w:rsidR="00FD3CCA" w:rsidRDefault="00FD3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07" w:rsidRDefault="00C53B07" w:rsidP="00C934E0">
      <w:r>
        <w:separator/>
      </w:r>
    </w:p>
  </w:footnote>
  <w:footnote w:type="continuationSeparator" w:id="0">
    <w:p w:rsidR="00C53B07" w:rsidRDefault="00C53B07" w:rsidP="00C9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AA8"/>
    <w:multiLevelType w:val="hybridMultilevel"/>
    <w:tmpl w:val="B90A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6E5"/>
    <w:multiLevelType w:val="hybridMultilevel"/>
    <w:tmpl w:val="F11C533A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B2081"/>
    <w:multiLevelType w:val="hybridMultilevel"/>
    <w:tmpl w:val="544E884C"/>
    <w:lvl w:ilvl="0" w:tplc="ECE48F5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BCB79BF"/>
    <w:multiLevelType w:val="hybridMultilevel"/>
    <w:tmpl w:val="C0200E3E"/>
    <w:lvl w:ilvl="0" w:tplc="31A05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94D0B"/>
    <w:multiLevelType w:val="hybridMultilevel"/>
    <w:tmpl w:val="3FFAEC50"/>
    <w:lvl w:ilvl="0" w:tplc="2DF6C5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6D5B06"/>
    <w:multiLevelType w:val="hybridMultilevel"/>
    <w:tmpl w:val="8A1CFC7C"/>
    <w:lvl w:ilvl="0" w:tplc="960E05DE">
      <w:start w:val="1"/>
      <w:numFmt w:val="bullet"/>
      <w:lvlText w:val="-"/>
      <w:lvlJc w:val="left"/>
      <w:pPr>
        <w:tabs>
          <w:tab w:val="num" w:pos="738"/>
        </w:tabs>
        <w:ind w:left="738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3E7144CC"/>
    <w:multiLevelType w:val="hybridMultilevel"/>
    <w:tmpl w:val="32BCA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44A2"/>
    <w:multiLevelType w:val="hybridMultilevel"/>
    <w:tmpl w:val="90967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C6072"/>
    <w:multiLevelType w:val="hybridMultilevel"/>
    <w:tmpl w:val="8F66CCDE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643AC"/>
    <w:multiLevelType w:val="hybridMultilevel"/>
    <w:tmpl w:val="CF30E298"/>
    <w:lvl w:ilvl="0" w:tplc="C1845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0638FF"/>
    <w:multiLevelType w:val="hybridMultilevel"/>
    <w:tmpl w:val="AB186046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75319"/>
    <w:multiLevelType w:val="hybridMultilevel"/>
    <w:tmpl w:val="EBF6CB5A"/>
    <w:lvl w:ilvl="0" w:tplc="8C40E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115E9"/>
    <w:multiLevelType w:val="hybridMultilevel"/>
    <w:tmpl w:val="840EB18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50BA0"/>
    <w:multiLevelType w:val="hybridMultilevel"/>
    <w:tmpl w:val="707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41546"/>
    <w:multiLevelType w:val="hybridMultilevel"/>
    <w:tmpl w:val="91F28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FF2232"/>
    <w:rsid w:val="00007101"/>
    <w:rsid w:val="000075CA"/>
    <w:rsid w:val="00012E8F"/>
    <w:rsid w:val="000158AB"/>
    <w:rsid w:val="00017213"/>
    <w:rsid w:val="000216E3"/>
    <w:rsid w:val="000228AC"/>
    <w:rsid w:val="00024B4A"/>
    <w:rsid w:val="0003115C"/>
    <w:rsid w:val="000326E0"/>
    <w:rsid w:val="00034C96"/>
    <w:rsid w:val="00041859"/>
    <w:rsid w:val="00047E06"/>
    <w:rsid w:val="0005057F"/>
    <w:rsid w:val="00053C4F"/>
    <w:rsid w:val="00054014"/>
    <w:rsid w:val="00054AB0"/>
    <w:rsid w:val="00055435"/>
    <w:rsid w:val="00061E02"/>
    <w:rsid w:val="00064002"/>
    <w:rsid w:val="00066EA5"/>
    <w:rsid w:val="00070133"/>
    <w:rsid w:val="00070E29"/>
    <w:rsid w:val="00071485"/>
    <w:rsid w:val="00074135"/>
    <w:rsid w:val="00075E69"/>
    <w:rsid w:val="00077D9D"/>
    <w:rsid w:val="00080F28"/>
    <w:rsid w:val="000822FE"/>
    <w:rsid w:val="000848E2"/>
    <w:rsid w:val="00086C49"/>
    <w:rsid w:val="00087CF2"/>
    <w:rsid w:val="0009165E"/>
    <w:rsid w:val="00091E72"/>
    <w:rsid w:val="000A157B"/>
    <w:rsid w:val="000A2C9E"/>
    <w:rsid w:val="000B3AB9"/>
    <w:rsid w:val="000B519C"/>
    <w:rsid w:val="000C1732"/>
    <w:rsid w:val="000C35BA"/>
    <w:rsid w:val="000C4DB8"/>
    <w:rsid w:val="000D0753"/>
    <w:rsid w:val="000D1428"/>
    <w:rsid w:val="000D230E"/>
    <w:rsid w:val="000D69E6"/>
    <w:rsid w:val="000E246E"/>
    <w:rsid w:val="000E29FB"/>
    <w:rsid w:val="000E2C08"/>
    <w:rsid w:val="000E3A2A"/>
    <w:rsid w:val="000F26F6"/>
    <w:rsid w:val="000F2971"/>
    <w:rsid w:val="000F3757"/>
    <w:rsid w:val="000F491C"/>
    <w:rsid w:val="00101743"/>
    <w:rsid w:val="00106117"/>
    <w:rsid w:val="001111F0"/>
    <w:rsid w:val="00112C0A"/>
    <w:rsid w:val="00115269"/>
    <w:rsid w:val="00115BDE"/>
    <w:rsid w:val="001209C6"/>
    <w:rsid w:val="00122176"/>
    <w:rsid w:val="00122706"/>
    <w:rsid w:val="00125B09"/>
    <w:rsid w:val="00125FD0"/>
    <w:rsid w:val="00127114"/>
    <w:rsid w:val="001330EB"/>
    <w:rsid w:val="00137B58"/>
    <w:rsid w:val="00143BF8"/>
    <w:rsid w:val="00143E33"/>
    <w:rsid w:val="00145C71"/>
    <w:rsid w:val="00154556"/>
    <w:rsid w:val="001547C8"/>
    <w:rsid w:val="00154FBD"/>
    <w:rsid w:val="0015637C"/>
    <w:rsid w:val="001574C9"/>
    <w:rsid w:val="00160194"/>
    <w:rsid w:val="0016163F"/>
    <w:rsid w:val="00170C4D"/>
    <w:rsid w:val="00173BB0"/>
    <w:rsid w:val="001761C6"/>
    <w:rsid w:val="00176F4F"/>
    <w:rsid w:val="00190685"/>
    <w:rsid w:val="00192538"/>
    <w:rsid w:val="00192B75"/>
    <w:rsid w:val="0019568C"/>
    <w:rsid w:val="001A1359"/>
    <w:rsid w:val="001A3933"/>
    <w:rsid w:val="001B5BAC"/>
    <w:rsid w:val="001C2150"/>
    <w:rsid w:val="001C51D4"/>
    <w:rsid w:val="001D06E3"/>
    <w:rsid w:val="001D181E"/>
    <w:rsid w:val="001D1A81"/>
    <w:rsid w:val="001D6FE0"/>
    <w:rsid w:val="001E47A5"/>
    <w:rsid w:val="001F3945"/>
    <w:rsid w:val="001F43DD"/>
    <w:rsid w:val="001F71F2"/>
    <w:rsid w:val="00200654"/>
    <w:rsid w:val="002024B4"/>
    <w:rsid w:val="00204998"/>
    <w:rsid w:val="00207AFA"/>
    <w:rsid w:val="0021273B"/>
    <w:rsid w:val="00213B17"/>
    <w:rsid w:val="00213C22"/>
    <w:rsid w:val="002152D3"/>
    <w:rsid w:val="00216111"/>
    <w:rsid w:val="00221D41"/>
    <w:rsid w:val="00226872"/>
    <w:rsid w:val="002300F1"/>
    <w:rsid w:val="00230432"/>
    <w:rsid w:val="002318B0"/>
    <w:rsid w:val="002325A2"/>
    <w:rsid w:val="0023506D"/>
    <w:rsid w:val="002374AF"/>
    <w:rsid w:val="002374B2"/>
    <w:rsid w:val="00240C9F"/>
    <w:rsid w:val="00240F6B"/>
    <w:rsid w:val="00250F94"/>
    <w:rsid w:val="00253FE2"/>
    <w:rsid w:val="00254517"/>
    <w:rsid w:val="002560B3"/>
    <w:rsid w:val="00256A59"/>
    <w:rsid w:val="00263002"/>
    <w:rsid w:val="0026684F"/>
    <w:rsid w:val="0026688E"/>
    <w:rsid w:val="002677C9"/>
    <w:rsid w:val="002758E7"/>
    <w:rsid w:val="00276159"/>
    <w:rsid w:val="002774FB"/>
    <w:rsid w:val="00282C3E"/>
    <w:rsid w:val="002830EF"/>
    <w:rsid w:val="00286FF6"/>
    <w:rsid w:val="00297EE6"/>
    <w:rsid w:val="002A0031"/>
    <w:rsid w:val="002A063A"/>
    <w:rsid w:val="002A3413"/>
    <w:rsid w:val="002A70F1"/>
    <w:rsid w:val="002A7B78"/>
    <w:rsid w:val="002B5788"/>
    <w:rsid w:val="002C13FA"/>
    <w:rsid w:val="002C7837"/>
    <w:rsid w:val="002D10E8"/>
    <w:rsid w:val="002D20D4"/>
    <w:rsid w:val="002D37E7"/>
    <w:rsid w:val="002D5212"/>
    <w:rsid w:val="002D7177"/>
    <w:rsid w:val="002D784A"/>
    <w:rsid w:val="002E07BA"/>
    <w:rsid w:val="002E096B"/>
    <w:rsid w:val="002E2CF2"/>
    <w:rsid w:val="002E6479"/>
    <w:rsid w:val="002F3F26"/>
    <w:rsid w:val="002F60B7"/>
    <w:rsid w:val="002F75C1"/>
    <w:rsid w:val="00301370"/>
    <w:rsid w:val="00302F7B"/>
    <w:rsid w:val="00304B5D"/>
    <w:rsid w:val="003051F7"/>
    <w:rsid w:val="0031159D"/>
    <w:rsid w:val="00320293"/>
    <w:rsid w:val="003202B1"/>
    <w:rsid w:val="00321422"/>
    <w:rsid w:val="00327B9E"/>
    <w:rsid w:val="003318FC"/>
    <w:rsid w:val="0033438F"/>
    <w:rsid w:val="003349E6"/>
    <w:rsid w:val="00335323"/>
    <w:rsid w:val="00343283"/>
    <w:rsid w:val="00346234"/>
    <w:rsid w:val="00346ADC"/>
    <w:rsid w:val="00346C35"/>
    <w:rsid w:val="00351AD5"/>
    <w:rsid w:val="00351F5A"/>
    <w:rsid w:val="00352EE8"/>
    <w:rsid w:val="00354B52"/>
    <w:rsid w:val="0035770B"/>
    <w:rsid w:val="00361C9C"/>
    <w:rsid w:val="00363253"/>
    <w:rsid w:val="00365037"/>
    <w:rsid w:val="00372EBC"/>
    <w:rsid w:val="003734B7"/>
    <w:rsid w:val="00374139"/>
    <w:rsid w:val="00374BFC"/>
    <w:rsid w:val="00375D7C"/>
    <w:rsid w:val="0038010D"/>
    <w:rsid w:val="00383FBB"/>
    <w:rsid w:val="00383FC0"/>
    <w:rsid w:val="00384D2B"/>
    <w:rsid w:val="00386609"/>
    <w:rsid w:val="003942D0"/>
    <w:rsid w:val="003956B1"/>
    <w:rsid w:val="00395875"/>
    <w:rsid w:val="00395A01"/>
    <w:rsid w:val="003A1689"/>
    <w:rsid w:val="003A57FD"/>
    <w:rsid w:val="003A71C3"/>
    <w:rsid w:val="003B1BBF"/>
    <w:rsid w:val="003B3841"/>
    <w:rsid w:val="003B4F66"/>
    <w:rsid w:val="003B5125"/>
    <w:rsid w:val="003C2933"/>
    <w:rsid w:val="003C2975"/>
    <w:rsid w:val="003C5E65"/>
    <w:rsid w:val="003D052A"/>
    <w:rsid w:val="003D0F90"/>
    <w:rsid w:val="003D1918"/>
    <w:rsid w:val="003D21A9"/>
    <w:rsid w:val="003D2315"/>
    <w:rsid w:val="003D465A"/>
    <w:rsid w:val="003D47CE"/>
    <w:rsid w:val="003D657F"/>
    <w:rsid w:val="003E064A"/>
    <w:rsid w:val="003E0E50"/>
    <w:rsid w:val="003F0C62"/>
    <w:rsid w:val="003F6C9A"/>
    <w:rsid w:val="00400F0F"/>
    <w:rsid w:val="00402FDA"/>
    <w:rsid w:val="004070AD"/>
    <w:rsid w:val="00407E3B"/>
    <w:rsid w:val="0041210B"/>
    <w:rsid w:val="00422D00"/>
    <w:rsid w:val="00432592"/>
    <w:rsid w:val="004348D6"/>
    <w:rsid w:val="004370AE"/>
    <w:rsid w:val="004372DB"/>
    <w:rsid w:val="00442145"/>
    <w:rsid w:val="00442B35"/>
    <w:rsid w:val="004460D1"/>
    <w:rsid w:val="00446F4F"/>
    <w:rsid w:val="00452971"/>
    <w:rsid w:val="004531F7"/>
    <w:rsid w:val="00453CD1"/>
    <w:rsid w:val="00462D8C"/>
    <w:rsid w:val="00463784"/>
    <w:rsid w:val="00464408"/>
    <w:rsid w:val="004668C7"/>
    <w:rsid w:val="00466913"/>
    <w:rsid w:val="0047023E"/>
    <w:rsid w:val="00471803"/>
    <w:rsid w:val="004732EF"/>
    <w:rsid w:val="0048394C"/>
    <w:rsid w:val="00484777"/>
    <w:rsid w:val="00484A0F"/>
    <w:rsid w:val="00485EAC"/>
    <w:rsid w:val="004873E8"/>
    <w:rsid w:val="00493195"/>
    <w:rsid w:val="0049603C"/>
    <w:rsid w:val="004A0B32"/>
    <w:rsid w:val="004A1F44"/>
    <w:rsid w:val="004A2C11"/>
    <w:rsid w:val="004A70C8"/>
    <w:rsid w:val="004A7333"/>
    <w:rsid w:val="004B1F49"/>
    <w:rsid w:val="004B5477"/>
    <w:rsid w:val="004C12A5"/>
    <w:rsid w:val="004C52C7"/>
    <w:rsid w:val="004C5807"/>
    <w:rsid w:val="004C5A48"/>
    <w:rsid w:val="004C5F5A"/>
    <w:rsid w:val="004D0D47"/>
    <w:rsid w:val="004D4229"/>
    <w:rsid w:val="004D5C96"/>
    <w:rsid w:val="004D6696"/>
    <w:rsid w:val="004D7CA8"/>
    <w:rsid w:val="004E1227"/>
    <w:rsid w:val="004E42A2"/>
    <w:rsid w:val="004F0BB4"/>
    <w:rsid w:val="004F3801"/>
    <w:rsid w:val="004F6877"/>
    <w:rsid w:val="00504DE3"/>
    <w:rsid w:val="005070C5"/>
    <w:rsid w:val="005073C4"/>
    <w:rsid w:val="005078F0"/>
    <w:rsid w:val="00512FA2"/>
    <w:rsid w:val="00513426"/>
    <w:rsid w:val="00516DA8"/>
    <w:rsid w:val="00517AEE"/>
    <w:rsid w:val="00520C5F"/>
    <w:rsid w:val="00523D3D"/>
    <w:rsid w:val="00525724"/>
    <w:rsid w:val="0053742A"/>
    <w:rsid w:val="0054127C"/>
    <w:rsid w:val="005420DE"/>
    <w:rsid w:val="00542312"/>
    <w:rsid w:val="0054339E"/>
    <w:rsid w:val="00544E62"/>
    <w:rsid w:val="00553B93"/>
    <w:rsid w:val="0055652B"/>
    <w:rsid w:val="00557E66"/>
    <w:rsid w:val="0056213E"/>
    <w:rsid w:val="00562EF6"/>
    <w:rsid w:val="00563290"/>
    <w:rsid w:val="005637C4"/>
    <w:rsid w:val="0056383A"/>
    <w:rsid w:val="00566638"/>
    <w:rsid w:val="00577260"/>
    <w:rsid w:val="00577A2A"/>
    <w:rsid w:val="00580994"/>
    <w:rsid w:val="005A0164"/>
    <w:rsid w:val="005A216E"/>
    <w:rsid w:val="005A72DD"/>
    <w:rsid w:val="005A7650"/>
    <w:rsid w:val="005C07F5"/>
    <w:rsid w:val="005C1B5D"/>
    <w:rsid w:val="005D0F6A"/>
    <w:rsid w:val="005D12EC"/>
    <w:rsid w:val="005D1C75"/>
    <w:rsid w:val="005D21D8"/>
    <w:rsid w:val="005D2435"/>
    <w:rsid w:val="005D427A"/>
    <w:rsid w:val="005D48D6"/>
    <w:rsid w:val="005D4C8E"/>
    <w:rsid w:val="005D5D14"/>
    <w:rsid w:val="005D7743"/>
    <w:rsid w:val="005E2B65"/>
    <w:rsid w:val="005E2EA6"/>
    <w:rsid w:val="005E615D"/>
    <w:rsid w:val="005F47FF"/>
    <w:rsid w:val="005F608A"/>
    <w:rsid w:val="005F6ECD"/>
    <w:rsid w:val="005F7DF8"/>
    <w:rsid w:val="00600F05"/>
    <w:rsid w:val="00604824"/>
    <w:rsid w:val="006057C1"/>
    <w:rsid w:val="006077B6"/>
    <w:rsid w:val="00610A00"/>
    <w:rsid w:val="00611221"/>
    <w:rsid w:val="00611756"/>
    <w:rsid w:val="0061540D"/>
    <w:rsid w:val="00620F47"/>
    <w:rsid w:val="00623DCF"/>
    <w:rsid w:val="00627671"/>
    <w:rsid w:val="00631103"/>
    <w:rsid w:val="00631765"/>
    <w:rsid w:val="00634928"/>
    <w:rsid w:val="006354FE"/>
    <w:rsid w:val="00635D7C"/>
    <w:rsid w:val="006408D6"/>
    <w:rsid w:val="0064184F"/>
    <w:rsid w:val="00642E77"/>
    <w:rsid w:val="0064395C"/>
    <w:rsid w:val="00644891"/>
    <w:rsid w:val="00645222"/>
    <w:rsid w:val="0065216A"/>
    <w:rsid w:val="006637AD"/>
    <w:rsid w:val="006678C5"/>
    <w:rsid w:val="00671067"/>
    <w:rsid w:val="00671401"/>
    <w:rsid w:val="00671D02"/>
    <w:rsid w:val="006746C0"/>
    <w:rsid w:val="00676D33"/>
    <w:rsid w:val="006820E0"/>
    <w:rsid w:val="0068497A"/>
    <w:rsid w:val="006850A5"/>
    <w:rsid w:val="00686565"/>
    <w:rsid w:val="006930DF"/>
    <w:rsid w:val="00693F50"/>
    <w:rsid w:val="006941DF"/>
    <w:rsid w:val="00695C7D"/>
    <w:rsid w:val="006A1C70"/>
    <w:rsid w:val="006A4E00"/>
    <w:rsid w:val="006A54A9"/>
    <w:rsid w:val="006B0456"/>
    <w:rsid w:val="006B0D0C"/>
    <w:rsid w:val="006B53CD"/>
    <w:rsid w:val="006B7B63"/>
    <w:rsid w:val="006C62C1"/>
    <w:rsid w:val="006C6B57"/>
    <w:rsid w:val="006C7A62"/>
    <w:rsid w:val="006C7DCF"/>
    <w:rsid w:val="006D0F12"/>
    <w:rsid w:val="006D226C"/>
    <w:rsid w:val="006D6C9C"/>
    <w:rsid w:val="006E24F9"/>
    <w:rsid w:val="006E30D4"/>
    <w:rsid w:val="006E343E"/>
    <w:rsid w:val="006E54FF"/>
    <w:rsid w:val="006E7C8E"/>
    <w:rsid w:val="006F426B"/>
    <w:rsid w:val="00700A2B"/>
    <w:rsid w:val="00704425"/>
    <w:rsid w:val="007056C3"/>
    <w:rsid w:val="00707DFA"/>
    <w:rsid w:val="00711DE2"/>
    <w:rsid w:val="00712F9A"/>
    <w:rsid w:val="007219E5"/>
    <w:rsid w:val="00723036"/>
    <w:rsid w:val="0072429B"/>
    <w:rsid w:val="0073189F"/>
    <w:rsid w:val="0073515A"/>
    <w:rsid w:val="00735AFB"/>
    <w:rsid w:val="007376AE"/>
    <w:rsid w:val="0074081F"/>
    <w:rsid w:val="00742662"/>
    <w:rsid w:val="00742BB5"/>
    <w:rsid w:val="00743FB1"/>
    <w:rsid w:val="00750ECE"/>
    <w:rsid w:val="00756A65"/>
    <w:rsid w:val="00757FB8"/>
    <w:rsid w:val="0076013D"/>
    <w:rsid w:val="00761E43"/>
    <w:rsid w:val="007646EA"/>
    <w:rsid w:val="007649E3"/>
    <w:rsid w:val="007704AE"/>
    <w:rsid w:val="00771C9B"/>
    <w:rsid w:val="007747ED"/>
    <w:rsid w:val="0077488C"/>
    <w:rsid w:val="0077549D"/>
    <w:rsid w:val="00780A12"/>
    <w:rsid w:val="00785244"/>
    <w:rsid w:val="0078577E"/>
    <w:rsid w:val="00785C22"/>
    <w:rsid w:val="00792B1D"/>
    <w:rsid w:val="00793BE6"/>
    <w:rsid w:val="00795E6D"/>
    <w:rsid w:val="00795F47"/>
    <w:rsid w:val="007A33C4"/>
    <w:rsid w:val="007A7BD0"/>
    <w:rsid w:val="007B039C"/>
    <w:rsid w:val="007B0AC7"/>
    <w:rsid w:val="007B533A"/>
    <w:rsid w:val="007B5956"/>
    <w:rsid w:val="007B7794"/>
    <w:rsid w:val="007C0285"/>
    <w:rsid w:val="007C1304"/>
    <w:rsid w:val="007C323A"/>
    <w:rsid w:val="007D0A79"/>
    <w:rsid w:val="007D5ACE"/>
    <w:rsid w:val="007E41F6"/>
    <w:rsid w:val="007E4B7D"/>
    <w:rsid w:val="007E4E43"/>
    <w:rsid w:val="007E6A20"/>
    <w:rsid w:val="007E6E52"/>
    <w:rsid w:val="007F2485"/>
    <w:rsid w:val="007F28FC"/>
    <w:rsid w:val="008017F6"/>
    <w:rsid w:val="00801C7B"/>
    <w:rsid w:val="008027C5"/>
    <w:rsid w:val="0080659D"/>
    <w:rsid w:val="008137FC"/>
    <w:rsid w:val="0081415D"/>
    <w:rsid w:val="008157DF"/>
    <w:rsid w:val="008205FA"/>
    <w:rsid w:val="00821086"/>
    <w:rsid w:val="00823888"/>
    <w:rsid w:val="0082391D"/>
    <w:rsid w:val="00823BDE"/>
    <w:rsid w:val="008260D9"/>
    <w:rsid w:val="00827AA8"/>
    <w:rsid w:val="00831A43"/>
    <w:rsid w:val="00831F7A"/>
    <w:rsid w:val="00843365"/>
    <w:rsid w:val="0084740F"/>
    <w:rsid w:val="008506BA"/>
    <w:rsid w:val="0085213B"/>
    <w:rsid w:val="008531BC"/>
    <w:rsid w:val="0085423A"/>
    <w:rsid w:val="0085491F"/>
    <w:rsid w:val="0085646B"/>
    <w:rsid w:val="00860F03"/>
    <w:rsid w:val="00861E8D"/>
    <w:rsid w:val="0086528E"/>
    <w:rsid w:val="008718D6"/>
    <w:rsid w:val="00871E46"/>
    <w:rsid w:val="00872ECD"/>
    <w:rsid w:val="008730A0"/>
    <w:rsid w:val="008827A3"/>
    <w:rsid w:val="008850F9"/>
    <w:rsid w:val="0089005C"/>
    <w:rsid w:val="0089057D"/>
    <w:rsid w:val="0089186D"/>
    <w:rsid w:val="00894D94"/>
    <w:rsid w:val="00897B74"/>
    <w:rsid w:val="008A1248"/>
    <w:rsid w:val="008B1EF1"/>
    <w:rsid w:val="008B3FB7"/>
    <w:rsid w:val="008B63CD"/>
    <w:rsid w:val="008C0CDB"/>
    <w:rsid w:val="008C180F"/>
    <w:rsid w:val="008C5924"/>
    <w:rsid w:val="008C6CF6"/>
    <w:rsid w:val="008C7263"/>
    <w:rsid w:val="008D415A"/>
    <w:rsid w:val="008E00A5"/>
    <w:rsid w:val="008E03FB"/>
    <w:rsid w:val="008E21A7"/>
    <w:rsid w:val="008E2D4C"/>
    <w:rsid w:val="008E53B7"/>
    <w:rsid w:val="008E56FC"/>
    <w:rsid w:val="008E5D15"/>
    <w:rsid w:val="008F17BB"/>
    <w:rsid w:val="008F4FBF"/>
    <w:rsid w:val="008F5023"/>
    <w:rsid w:val="008F57C5"/>
    <w:rsid w:val="008F75B6"/>
    <w:rsid w:val="00902BD3"/>
    <w:rsid w:val="00905702"/>
    <w:rsid w:val="00907757"/>
    <w:rsid w:val="00907898"/>
    <w:rsid w:val="009108B8"/>
    <w:rsid w:val="009123CB"/>
    <w:rsid w:val="00912989"/>
    <w:rsid w:val="00912DD5"/>
    <w:rsid w:val="009145E9"/>
    <w:rsid w:val="009179FE"/>
    <w:rsid w:val="00920B8D"/>
    <w:rsid w:val="0092706B"/>
    <w:rsid w:val="00931EC1"/>
    <w:rsid w:val="00932282"/>
    <w:rsid w:val="009326B0"/>
    <w:rsid w:val="00933A1A"/>
    <w:rsid w:val="009354E1"/>
    <w:rsid w:val="009409DB"/>
    <w:rsid w:val="009410DF"/>
    <w:rsid w:val="00944D27"/>
    <w:rsid w:val="00946686"/>
    <w:rsid w:val="00953E33"/>
    <w:rsid w:val="00954E03"/>
    <w:rsid w:val="00957088"/>
    <w:rsid w:val="00964E1F"/>
    <w:rsid w:val="00967ACE"/>
    <w:rsid w:val="00967FB1"/>
    <w:rsid w:val="00970121"/>
    <w:rsid w:val="00977310"/>
    <w:rsid w:val="00984819"/>
    <w:rsid w:val="00985FD8"/>
    <w:rsid w:val="00987B48"/>
    <w:rsid w:val="00991DC3"/>
    <w:rsid w:val="00993B19"/>
    <w:rsid w:val="0099510E"/>
    <w:rsid w:val="0099567F"/>
    <w:rsid w:val="00995EBE"/>
    <w:rsid w:val="009967C1"/>
    <w:rsid w:val="009A546F"/>
    <w:rsid w:val="009A6B97"/>
    <w:rsid w:val="009A6CD4"/>
    <w:rsid w:val="009B12B1"/>
    <w:rsid w:val="009B218D"/>
    <w:rsid w:val="009B3930"/>
    <w:rsid w:val="009B6C91"/>
    <w:rsid w:val="009C0613"/>
    <w:rsid w:val="009C1225"/>
    <w:rsid w:val="009C5B74"/>
    <w:rsid w:val="009C7AF2"/>
    <w:rsid w:val="009C7D9C"/>
    <w:rsid w:val="009D0242"/>
    <w:rsid w:val="009D043F"/>
    <w:rsid w:val="009D0531"/>
    <w:rsid w:val="009D0DAF"/>
    <w:rsid w:val="009D1927"/>
    <w:rsid w:val="009D748A"/>
    <w:rsid w:val="009D7AD5"/>
    <w:rsid w:val="009E15B9"/>
    <w:rsid w:val="009E2338"/>
    <w:rsid w:val="009E3D19"/>
    <w:rsid w:val="009E614D"/>
    <w:rsid w:val="009E7E7B"/>
    <w:rsid w:val="009F2775"/>
    <w:rsid w:val="009F47B4"/>
    <w:rsid w:val="009F63A5"/>
    <w:rsid w:val="009F775F"/>
    <w:rsid w:val="009F77A9"/>
    <w:rsid w:val="00A1279F"/>
    <w:rsid w:val="00A137B1"/>
    <w:rsid w:val="00A15A62"/>
    <w:rsid w:val="00A15EBE"/>
    <w:rsid w:val="00A16843"/>
    <w:rsid w:val="00A16A97"/>
    <w:rsid w:val="00A16E6F"/>
    <w:rsid w:val="00A20CBA"/>
    <w:rsid w:val="00A22F4D"/>
    <w:rsid w:val="00A24371"/>
    <w:rsid w:val="00A257AF"/>
    <w:rsid w:val="00A25B78"/>
    <w:rsid w:val="00A27294"/>
    <w:rsid w:val="00A350AB"/>
    <w:rsid w:val="00A43511"/>
    <w:rsid w:val="00A43AE9"/>
    <w:rsid w:val="00A442A5"/>
    <w:rsid w:val="00A45B28"/>
    <w:rsid w:val="00A46BE1"/>
    <w:rsid w:val="00A478DC"/>
    <w:rsid w:val="00A53128"/>
    <w:rsid w:val="00A5364F"/>
    <w:rsid w:val="00A64900"/>
    <w:rsid w:val="00A704E0"/>
    <w:rsid w:val="00A732C1"/>
    <w:rsid w:val="00A738E5"/>
    <w:rsid w:val="00A84137"/>
    <w:rsid w:val="00A84B28"/>
    <w:rsid w:val="00A85250"/>
    <w:rsid w:val="00A85298"/>
    <w:rsid w:val="00A85AFC"/>
    <w:rsid w:val="00A86058"/>
    <w:rsid w:val="00A93689"/>
    <w:rsid w:val="00A94687"/>
    <w:rsid w:val="00A96B58"/>
    <w:rsid w:val="00A97CE5"/>
    <w:rsid w:val="00AB1596"/>
    <w:rsid w:val="00AB1D34"/>
    <w:rsid w:val="00AB1FD4"/>
    <w:rsid w:val="00AB7055"/>
    <w:rsid w:val="00AC50A1"/>
    <w:rsid w:val="00AC58B4"/>
    <w:rsid w:val="00AD5CF1"/>
    <w:rsid w:val="00AE5058"/>
    <w:rsid w:val="00AF1171"/>
    <w:rsid w:val="00AF177E"/>
    <w:rsid w:val="00AF4A63"/>
    <w:rsid w:val="00AF7A01"/>
    <w:rsid w:val="00B12726"/>
    <w:rsid w:val="00B13772"/>
    <w:rsid w:val="00B141EB"/>
    <w:rsid w:val="00B16A79"/>
    <w:rsid w:val="00B21149"/>
    <w:rsid w:val="00B3105C"/>
    <w:rsid w:val="00B32F57"/>
    <w:rsid w:val="00B356FB"/>
    <w:rsid w:val="00B44363"/>
    <w:rsid w:val="00B445FC"/>
    <w:rsid w:val="00B46B2F"/>
    <w:rsid w:val="00B50469"/>
    <w:rsid w:val="00B510FA"/>
    <w:rsid w:val="00B511C2"/>
    <w:rsid w:val="00B51355"/>
    <w:rsid w:val="00B51888"/>
    <w:rsid w:val="00B51B09"/>
    <w:rsid w:val="00B5259B"/>
    <w:rsid w:val="00B53424"/>
    <w:rsid w:val="00B62B53"/>
    <w:rsid w:val="00B649E1"/>
    <w:rsid w:val="00B655A1"/>
    <w:rsid w:val="00B67D43"/>
    <w:rsid w:val="00B834E0"/>
    <w:rsid w:val="00B8398F"/>
    <w:rsid w:val="00B84C38"/>
    <w:rsid w:val="00B85637"/>
    <w:rsid w:val="00B87347"/>
    <w:rsid w:val="00B91476"/>
    <w:rsid w:val="00B93948"/>
    <w:rsid w:val="00B9490D"/>
    <w:rsid w:val="00B975C5"/>
    <w:rsid w:val="00BA341A"/>
    <w:rsid w:val="00BA67F3"/>
    <w:rsid w:val="00BA74E7"/>
    <w:rsid w:val="00BB2F17"/>
    <w:rsid w:val="00BB3ADF"/>
    <w:rsid w:val="00BB6241"/>
    <w:rsid w:val="00BC14CF"/>
    <w:rsid w:val="00BC1D8F"/>
    <w:rsid w:val="00BD2400"/>
    <w:rsid w:val="00BD3EB4"/>
    <w:rsid w:val="00BE232D"/>
    <w:rsid w:val="00BE653F"/>
    <w:rsid w:val="00BE6FDF"/>
    <w:rsid w:val="00BF2E37"/>
    <w:rsid w:val="00BF4538"/>
    <w:rsid w:val="00BF4C88"/>
    <w:rsid w:val="00BF54E8"/>
    <w:rsid w:val="00C0096B"/>
    <w:rsid w:val="00C0156B"/>
    <w:rsid w:val="00C04BA7"/>
    <w:rsid w:val="00C13010"/>
    <w:rsid w:val="00C236A2"/>
    <w:rsid w:val="00C25ABC"/>
    <w:rsid w:val="00C26DED"/>
    <w:rsid w:val="00C30AC3"/>
    <w:rsid w:val="00C30FE1"/>
    <w:rsid w:val="00C35798"/>
    <w:rsid w:val="00C403BE"/>
    <w:rsid w:val="00C40A1F"/>
    <w:rsid w:val="00C415C9"/>
    <w:rsid w:val="00C421B3"/>
    <w:rsid w:val="00C47909"/>
    <w:rsid w:val="00C47D02"/>
    <w:rsid w:val="00C52DB9"/>
    <w:rsid w:val="00C5330C"/>
    <w:rsid w:val="00C53B07"/>
    <w:rsid w:val="00C54B35"/>
    <w:rsid w:val="00C565FD"/>
    <w:rsid w:val="00C626DB"/>
    <w:rsid w:val="00C67CAF"/>
    <w:rsid w:val="00C73689"/>
    <w:rsid w:val="00C73DF0"/>
    <w:rsid w:val="00C75277"/>
    <w:rsid w:val="00C75A97"/>
    <w:rsid w:val="00C85C0F"/>
    <w:rsid w:val="00C926D4"/>
    <w:rsid w:val="00C9271B"/>
    <w:rsid w:val="00C934E0"/>
    <w:rsid w:val="00C963FD"/>
    <w:rsid w:val="00C96F6B"/>
    <w:rsid w:val="00CA1948"/>
    <w:rsid w:val="00CA2540"/>
    <w:rsid w:val="00CA6E59"/>
    <w:rsid w:val="00CB0548"/>
    <w:rsid w:val="00CB1F4F"/>
    <w:rsid w:val="00CB2AE8"/>
    <w:rsid w:val="00CB2FB7"/>
    <w:rsid w:val="00CB4034"/>
    <w:rsid w:val="00CB6B47"/>
    <w:rsid w:val="00CB7B39"/>
    <w:rsid w:val="00CC6894"/>
    <w:rsid w:val="00CD4118"/>
    <w:rsid w:val="00CE3CA9"/>
    <w:rsid w:val="00CE5665"/>
    <w:rsid w:val="00CE6CEB"/>
    <w:rsid w:val="00CE6CF2"/>
    <w:rsid w:val="00CE715A"/>
    <w:rsid w:val="00CE75E6"/>
    <w:rsid w:val="00CE7FAF"/>
    <w:rsid w:val="00CF6C44"/>
    <w:rsid w:val="00CF6FB0"/>
    <w:rsid w:val="00CF7213"/>
    <w:rsid w:val="00D000CF"/>
    <w:rsid w:val="00D11849"/>
    <w:rsid w:val="00D13D2A"/>
    <w:rsid w:val="00D226F2"/>
    <w:rsid w:val="00D25F80"/>
    <w:rsid w:val="00D311DC"/>
    <w:rsid w:val="00D32901"/>
    <w:rsid w:val="00D35E5D"/>
    <w:rsid w:val="00D36E70"/>
    <w:rsid w:val="00D40A36"/>
    <w:rsid w:val="00D455D2"/>
    <w:rsid w:val="00D51E48"/>
    <w:rsid w:val="00D539E5"/>
    <w:rsid w:val="00D5425F"/>
    <w:rsid w:val="00D60238"/>
    <w:rsid w:val="00D61933"/>
    <w:rsid w:val="00D61A06"/>
    <w:rsid w:val="00D648B4"/>
    <w:rsid w:val="00D740A6"/>
    <w:rsid w:val="00D82453"/>
    <w:rsid w:val="00D83F7E"/>
    <w:rsid w:val="00D851CE"/>
    <w:rsid w:val="00D8613D"/>
    <w:rsid w:val="00D86438"/>
    <w:rsid w:val="00D86C2E"/>
    <w:rsid w:val="00D97724"/>
    <w:rsid w:val="00DA2C8B"/>
    <w:rsid w:val="00DA5527"/>
    <w:rsid w:val="00DB0DDB"/>
    <w:rsid w:val="00DB1477"/>
    <w:rsid w:val="00DB7874"/>
    <w:rsid w:val="00DC3114"/>
    <w:rsid w:val="00DC4F8D"/>
    <w:rsid w:val="00DC7DFE"/>
    <w:rsid w:val="00DD11C8"/>
    <w:rsid w:val="00DD1720"/>
    <w:rsid w:val="00DD2026"/>
    <w:rsid w:val="00DD3911"/>
    <w:rsid w:val="00DD52AE"/>
    <w:rsid w:val="00DD7AB0"/>
    <w:rsid w:val="00DE3AB2"/>
    <w:rsid w:val="00DE659A"/>
    <w:rsid w:val="00DF20B4"/>
    <w:rsid w:val="00E05419"/>
    <w:rsid w:val="00E06046"/>
    <w:rsid w:val="00E15E38"/>
    <w:rsid w:val="00E16591"/>
    <w:rsid w:val="00E16864"/>
    <w:rsid w:val="00E17CF9"/>
    <w:rsid w:val="00E250FC"/>
    <w:rsid w:val="00E326EB"/>
    <w:rsid w:val="00E32E16"/>
    <w:rsid w:val="00E32EA7"/>
    <w:rsid w:val="00E35CF1"/>
    <w:rsid w:val="00E3637B"/>
    <w:rsid w:val="00E408C4"/>
    <w:rsid w:val="00E440B0"/>
    <w:rsid w:val="00E46020"/>
    <w:rsid w:val="00E5145A"/>
    <w:rsid w:val="00E52150"/>
    <w:rsid w:val="00E5619F"/>
    <w:rsid w:val="00E61937"/>
    <w:rsid w:val="00E62BC9"/>
    <w:rsid w:val="00E70796"/>
    <w:rsid w:val="00E70AA2"/>
    <w:rsid w:val="00E72F4E"/>
    <w:rsid w:val="00E7737B"/>
    <w:rsid w:val="00E81F08"/>
    <w:rsid w:val="00E82A95"/>
    <w:rsid w:val="00E83026"/>
    <w:rsid w:val="00E830DB"/>
    <w:rsid w:val="00E859CC"/>
    <w:rsid w:val="00E85B61"/>
    <w:rsid w:val="00E87985"/>
    <w:rsid w:val="00EA1760"/>
    <w:rsid w:val="00EA3598"/>
    <w:rsid w:val="00EA4FED"/>
    <w:rsid w:val="00EA7FCC"/>
    <w:rsid w:val="00EB43EB"/>
    <w:rsid w:val="00EB465E"/>
    <w:rsid w:val="00EB48F8"/>
    <w:rsid w:val="00EB5363"/>
    <w:rsid w:val="00EC4504"/>
    <w:rsid w:val="00EC7661"/>
    <w:rsid w:val="00ED4970"/>
    <w:rsid w:val="00ED5FC9"/>
    <w:rsid w:val="00ED6748"/>
    <w:rsid w:val="00EE0597"/>
    <w:rsid w:val="00EF69C4"/>
    <w:rsid w:val="00EF6FC3"/>
    <w:rsid w:val="00F05DCF"/>
    <w:rsid w:val="00F104A2"/>
    <w:rsid w:val="00F12E0D"/>
    <w:rsid w:val="00F151CC"/>
    <w:rsid w:val="00F16E81"/>
    <w:rsid w:val="00F210AE"/>
    <w:rsid w:val="00F22907"/>
    <w:rsid w:val="00F23F2A"/>
    <w:rsid w:val="00F24DBF"/>
    <w:rsid w:val="00F253F0"/>
    <w:rsid w:val="00F2753B"/>
    <w:rsid w:val="00F331F9"/>
    <w:rsid w:val="00F34E3E"/>
    <w:rsid w:val="00F351F8"/>
    <w:rsid w:val="00F368EE"/>
    <w:rsid w:val="00F36CD1"/>
    <w:rsid w:val="00F3722F"/>
    <w:rsid w:val="00F433DE"/>
    <w:rsid w:val="00F44C4F"/>
    <w:rsid w:val="00F4521F"/>
    <w:rsid w:val="00F532F9"/>
    <w:rsid w:val="00F56653"/>
    <w:rsid w:val="00F57C53"/>
    <w:rsid w:val="00F600B6"/>
    <w:rsid w:val="00F601CF"/>
    <w:rsid w:val="00F63AA1"/>
    <w:rsid w:val="00F673EC"/>
    <w:rsid w:val="00F70431"/>
    <w:rsid w:val="00F7586C"/>
    <w:rsid w:val="00F77C92"/>
    <w:rsid w:val="00F82590"/>
    <w:rsid w:val="00F834EE"/>
    <w:rsid w:val="00F92134"/>
    <w:rsid w:val="00F94AF2"/>
    <w:rsid w:val="00F95C0E"/>
    <w:rsid w:val="00FA05D8"/>
    <w:rsid w:val="00FA30D2"/>
    <w:rsid w:val="00FA3E8B"/>
    <w:rsid w:val="00FB08F7"/>
    <w:rsid w:val="00FB357A"/>
    <w:rsid w:val="00FC3735"/>
    <w:rsid w:val="00FD1995"/>
    <w:rsid w:val="00FD3CCA"/>
    <w:rsid w:val="00FD43BB"/>
    <w:rsid w:val="00FD45A5"/>
    <w:rsid w:val="00FD56A4"/>
    <w:rsid w:val="00FE06D8"/>
    <w:rsid w:val="00FE2DE3"/>
    <w:rsid w:val="00FE3C5D"/>
    <w:rsid w:val="00FE631A"/>
    <w:rsid w:val="00FE712E"/>
    <w:rsid w:val="00FE72BE"/>
    <w:rsid w:val="00FF223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2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2232"/>
  </w:style>
  <w:style w:type="character" w:styleId="Hyperlink">
    <w:name w:val="Hyperlink"/>
    <w:basedOn w:val="DefaultParagraphFont"/>
    <w:rsid w:val="00FF2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D4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basedOn w:val="Normal"/>
    <w:rsid w:val="00446F4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5C07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FD27-841E-43D8-8373-DADB6C8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12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tomislav.joksic</dc:creator>
  <cp:keywords/>
  <dc:description/>
  <cp:lastModifiedBy>aleksandra.milosevic</cp:lastModifiedBy>
  <cp:revision>714</cp:revision>
  <cp:lastPrinted>2017-08-04T11:53:00Z</cp:lastPrinted>
  <dcterms:created xsi:type="dcterms:W3CDTF">2012-08-10T12:37:00Z</dcterms:created>
  <dcterms:modified xsi:type="dcterms:W3CDTF">2017-08-04T12:17:00Z</dcterms:modified>
</cp:coreProperties>
</file>