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Република Србија</w:t>
      </w:r>
    </w:p>
    <w:p w:rsidR="006930DF" w:rsidRPr="006930DF" w:rsidRDefault="006930DF" w:rsidP="008730A0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Општина Горњи Милановац</w:t>
      </w: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64900" w:rsidRDefault="00A64900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64900" w:rsidRDefault="00A64900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6930DF" w:rsidRDefault="006930DF" w:rsidP="008730A0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:rsidR="00A85AFC" w:rsidRPr="00256A59" w:rsidRDefault="00FF2232" w:rsidP="008730A0">
      <w:pPr>
        <w:spacing w:line="360" w:lineRule="auto"/>
        <w:jc w:val="center"/>
        <w:rPr>
          <w:b/>
          <w:sz w:val="56"/>
          <w:szCs w:val="56"/>
          <w:lang w:val="sr-Cyrl-CS"/>
        </w:rPr>
      </w:pPr>
      <w:r w:rsidRPr="00256A59">
        <w:rPr>
          <w:b/>
          <w:sz w:val="56"/>
          <w:szCs w:val="56"/>
          <w:lang w:val="sr-Cyrl-CS"/>
        </w:rPr>
        <w:t xml:space="preserve">УПУТСТВО </w:t>
      </w:r>
    </w:p>
    <w:p w:rsidR="00FF2232" w:rsidRPr="00A64900" w:rsidRDefault="00FF2232" w:rsidP="008730A0">
      <w:pPr>
        <w:jc w:val="center"/>
        <w:rPr>
          <w:b/>
          <w:sz w:val="40"/>
          <w:szCs w:val="40"/>
          <w:lang w:val="sr-Cyrl-CS"/>
        </w:rPr>
      </w:pPr>
      <w:r w:rsidRPr="00A64900">
        <w:rPr>
          <w:b/>
          <w:sz w:val="40"/>
          <w:szCs w:val="40"/>
          <w:lang w:val="sr-Cyrl-CS"/>
        </w:rPr>
        <w:t>ЗА ПРИПРЕМУ БУЏЕТА ОПШТИНЕ ГОРЊИ МИЛАНОВАЦ ЗА 20</w:t>
      </w:r>
      <w:r w:rsidR="00705E4B">
        <w:rPr>
          <w:b/>
          <w:sz w:val="40"/>
          <w:szCs w:val="40"/>
        </w:rPr>
        <w:t>19</w:t>
      </w:r>
      <w:r w:rsidRPr="00A64900">
        <w:rPr>
          <w:b/>
          <w:sz w:val="40"/>
          <w:szCs w:val="40"/>
          <w:lang w:val="sr-Cyrl-CS"/>
        </w:rPr>
        <w:t>. ГОДИНУ</w:t>
      </w:r>
    </w:p>
    <w:p w:rsidR="006930DF" w:rsidRPr="006930DF" w:rsidRDefault="006930DF" w:rsidP="008730A0">
      <w:pPr>
        <w:jc w:val="center"/>
        <w:rPr>
          <w:b/>
          <w:sz w:val="40"/>
          <w:szCs w:val="40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6930DF" w:rsidP="008730A0">
      <w:pPr>
        <w:jc w:val="center"/>
        <w:rPr>
          <w:b/>
          <w:sz w:val="28"/>
          <w:szCs w:val="28"/>
          <w:lang w:val="sr-Cyrl-CS"/>
        </w:rPr>
      </w:pPr>
    </w:p>
    <w:p w:rsidR="006930DF" w:rsidRDefault="00E52150" w:rsidP="008730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31</w:t>
      </w:r>
      <w:r w:rsidR="008205FA">
        <w:rPr>
          <w:b/>
          <w:sz w:val="28"/>
          <w:szCs w:val="28"/>
          <w:lang w:val="sr-Cyrl-CS"/>
        </w:rPr>
        <w:t>. јул 201</w:t>
      </w:r>
      <w:r w:rsidR="00705E4B">
        <w:rPr>
          <w:b/>
          <w:sz w:val="28"/>
          <w:szCs w:val="28"/>
        </w:rPr>
        <w:t>8</w:t>
      </w:r>
      <w:r w:rsidR="006930DF">
        <w:rPr>
          <w:b/>
          <w:sz w:val="28"/>
          <w:szCs w:val="28"/>
          <w:lang w:val="sr-Cyrl-CS"/>
        </w:rPr>
        <w:t>. године</w:t>
      </w:r>
    </w:p>
    <w:p w:rsidR="006930DF" w:rsidRPr="004504E1" w:rsidRDefault="006930DF" w:rsidP="008730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Горњи Милановац</w:t>
      </w:r>
    </w:p>
    <w:p w:rsidR="00FF2232" w:rsidRPr="005D5D14" w:rsidRDefault="00FF2232" w:rsidP="008730A0">
      <w:pPr>
        <w:jc w:val="both"/>
        <w:rPr>
          <w:b/>
        </w:rPr>
      </w:pPr>
    </w:p>
    <w:p w:rsidR="00944D27" w:rsidRPr="002F3F26" w:rsidRDefault="0026688E" w:rsidP="008730A0">
      <w:pPr>
        <w:jc w:val="center"/>
        <w:rPr>
          <w:b/>
          <w:lang w:val="sr-Cyrl-CS"/>
        </w:rPr>
      </w:pPr>
      <w:r w:rsidRPr="002F3F26">
        <w:rPr>
          <w:b/>
          <w:lang w:val="sr-Cyrl-CS"/>
        </w:rPr>
        <w:lastRenderedPageBreak/>
        <w:t>Законски основ</w:t>
      </w:r>
    </w:p>
    <w:p w:rsidR="0026688E" w:rsidRPr="002F3F26" w:rsidRDefault="0026688E" w:rsidP="008730A0">
      <w:pPr>
        <w:jc w:val="center"/>
        <w:rPr>
          <w:b/>
          <w:lang w:val="sr-Cyrl-CS"/>
        </w:rPr>
      </w:pPr>
    </w:p>
    <w:p w:rsidR="007B0AC7" w:rsidRDefault="00FF2232" w:rsidP="008730A0">
      <w:pPr>
        <w:ind w:firstLine="720"/>
        <w:jc w:val="both"/>
        <w:rPr>
          <w:lang w:val="ru-RU"/>
        </w:rPr>
      </w:pPr>
      <w:r w:rsidRPr="002F3F26">
        <w:rPr>
          <w:lang w:val="sr-Cyrl-CS"/>
        </w:rPr>
        <w:t xml:space="preserve">Поступак припреме и доношења буџета локалне власти уређен је </w:t>
      </w:r>
      <w:r w:rsidR="00372EBC" w:rsidRPr="002F3F26">
        <w:rPr>
          <w:lang w:val="ru-RU"/>
        </w:rPr>
        <w:t>Закон</w:t>
      </w:r>
      <w:r w:rsidR="00372EBC" w:rsidRPr="002F3F26">
        <w:t>o</w:t>
      </w:r>
      <w:r w:rsidR="00372EBC" w:rsidRPr="002F3F26">
        <w:rPr>
          <w:lang w:val="sr-Cyrl-CS"/>
        </w:rPr>
        <w:t>м</w:t>
      </w:r>
      <w:r w:rsidR="00372EBC" w:rsidRPr="002F3F26">
        <w:rPr>
          <w:lang w:val="ru-RU"/>
        </w:rPr>
        <w:t xml:space="preserve"> о буџетском систему </w:t>
      </w:r>
      <w:r w:rsidR="0080659D" w:rsidRPr="002F3F26">
        <w:t>систему ("Сл.гл</w:t>
      </w:r>
      <w:r w:rsidR="0080659D" w:rsidRPr="002F3F26">
        <w:rPr>
          <w:lang w:val="sr-Cyrl-CS"/>
        </w:rPr>
        <w:t xml:space="preserve">асник </w:t>
      </w:r>
      <w:r w:rsidR="0080659D" w:rsidRPr="002F3F26">
        <w:t>РС",</w:t>
      </w:r>
      <w:r w:rsidR="0080659D" w:rsidRPr="002F3F26">
        <w:rPr>
          <w:lang w:val="sr-Cyrl-CS"/>
        </w:rPr>
        <w:t xml:space="preserve"> </w:t>
      </w:r>
      <w:r w:rsidR="0080659D" w:rsidRPr="002F3F26">
        <w:t>бр</w:t>
      </w:r>
      <w:r w:rsidR="0080659D" w:rsidRPr="002F3F26">
        <w:rPr>
          <w:lang w:val="sr-Cyrl-CS"/>
        </w:rPr>
        <w:t xml:space="preserve">ој </w:t>
      </w:r>
      <w:r w:rsidR="0080659D" w:rsidRPr="002F3F26">
        <w:t>54/</w:t>
      </w:r>
      <w:r w:rsidR="0080659D" w:rsidRPr="002F3F26">
        <w:rPr>
          <w:lang w:val="sr-Cyrl-CS"/>
        </w:rPr>
        <w:t>20</w:t>
      </w:r>
      <w:r w:rsidR="0080659D" w:rsidRPr="002F3F26">
        <w:t>09</w:t>
      </w:r>
      <w:r w:rsidR="0080659D" w:rsidRPr="002F3F26">
        <w:rPr>
          <w:lang w:val="sr-Cyrl-CS"/>
        </w:rPr>
        <w:t>,</w:t>
      </w:r>
      <w:r w:rsidR="0080659D" w:rsidRPr="002F3F26">
        <w:t xml:space="preserve"> 73/2010</w:t>
      </w:r>
      <w:r w:rsidR="0080659D" w:rsidRPr="002F3F26">
        <w:rPr>
          <w:lang w:val="sr-Cyrl-CS"/>
        </w:rPr>
        <w:t xml:space="preserve">, 101/2010, 101/2011, 93/2012, 62/2013, 63/2013–испр., 108/2013, </w:t>
      </w:r>
      <w:r w:rsidR="00A1279F">
        <w:t xml:space="preserve">142/2014, 68/2015, </w:t>
      </w:r>
      <w:r w:rsidR="0080659D" w:rsidRPr="002F3F26">
        <w:t>103/2015</w:t>
      </w:r>
      <w:r w:rsidR="00EC5DAB">
        <w:t xml:space="preserve">, </w:t>
      </w:r>
      <w:r w:rsidR="00A1279F">
        <w:t>99/2016</w:t>
      </w:r>
      <w:r w:rsidR="00EC5DAB">
        <w:t xml:space="preserve"> и 113/2017</w:t>
      </w:r>
      <w:r w:rsidR="0080659D" w:rsidRPr="002F3F26">
        <w:t>)</w:t>
      </w:r>
      <w:r w:rsidR="00372EBC" w:rsidRPr="002F3F26">
        <w:rPr>
          <w:lang w:val="ru-RU"/>
        </w:rPr>
        <w:t>.</w:t>
      </w:r>
    </w:p>
    <w:p w:rsidR="007B0AC7" w:rsidRDefault="007B0AC7" w:rsidP="008730A0">
      <w:pPr>
        <w:ind w:firstLine="720"/>
        <w:jc w:val="both"/>
        <w:rPr>
          <w:lang w:val="ru-RU"/>
        </w:rPr>
      </w:pPr>
    </w:p>
    <w:p w:rsidR="007B0AC7" w:rsidRPr="007B0AC7" w:rsidRDefault="00372EBC" w:rsidP="008730A0">
      <w:pPr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 </w:t>
      </w:r>
      <w:r w:rsidR="00AA07ED">
        <w:rPr>
          <w:lang w:val="sr-Cyrl-CS"/>
        </w:rPr>
        <w:t>Ч</w:t>
      </w:r>
      <w:r w:rsidR="00F3722F" w:rsidRPr="002F3F26">
        <w:rPr>
          <w:lang w:val="sr-Cyrl-CS"/>
        </w:rPr>
        <w:t>ла</w:t>
      </w:r>
      <w:r w:rsidR="00AA07ED">
        <w:rPr>
          <w:lang w:val="sr-Cyrl-CS"/>
        </w:rPr>
        <w:t>ном</w:t>
      </w:r>
      <w:r w:rsidR="00F3722F" w:rsidRPr="002F3F26">
        <w:rPr>
          <w:lang w:val="sr-Cyrl-CS"/>
        </w:rPr>
        <w:t xml:space="preserve"> 31. Закона, по буџетском календару, министар финансија доставља </w:t>
      </w:r>
      <w:r w:rsidR="00D13D2A" w:rsidRPr="002F3F26">
        <w:rPr>
          <w:lang w:val="sr-Cyrl-CS"/>
        </w:rPr>
        <w:t xml:space="preserve">Упутство за припрему </w:t>
      </w:r>
      <w:r w:rsidR="00D13D2A" w:rsidRPr="002F3F26">
        <w:rPr>
          <w:lang w:val="en-GB"/>
        </w:rPr>
        <w:t>O</w:t>
      </w:r>
      <w:r w:rsidR="00D13D2A" w:rsidRPr="002F3F26">
        <w:rPr>
          <w:lang w:val="sr-Cyrl-CS"/>
        </w:rPr>
        <w:t>длуке о буџету локалне власти као и Фискалну стратегију</w:t>
      </w:r>
      <w:r w:rsidR="00F3722F" w:rsidRPr="002F3F26">
        <w:rPr>
          <w:lang w:val="sr-Cyrl-CS"/>
        </w:rPr>
        <w:t xml:space="preserve"> до 5.</w:t>
      </w:r>
      <w:r w:rsidR="008C6CF6" w:rsidRPr="002F3F26">
        <w:rPr>
          <w:lang w:val="en-GB"/>
        </w:rPr>
        <w:t xml:space="preserve"> </w:t>
      </w:r>
      <w:r w:rsidR="007B0AC7">
        <w:rPr>
          <w:lang w:val="sr-Cyrl-CS"/>
        </w:rPr>
        <w:t>ј</w:t>
      </w:r>
      <w:r w:rsidR="00F3722F" w:rsidRPr="002F3F26">
        <w:rPr>
          <w:lang w:val="sr-Cyrl-CS"/>
        </w:rPr>
        <w:t>ула</w:t>
      </w:r>
      <w:r w:rsidR="007B0AC7">
        <w:rPr>
          <w:lang w:val="sr-Cyrl-CS"/>
        </w:rPr>
        <w:t xml:space="preserve"> текуће године</w:t>
      </w:r>
      <w:r w:rsidR="00F3722F" w:rsidRPr="002F3F26">
        <w:rPr>
          <w:lang w:val="sr-Cyrl-CS"/>
        </w:rPr>
        <w:t xml:space="preserve">. </w:t>
      </w:r>
      <w:r w:rsidR="007B0AC7">
        <w:rPr>
          <w:lang w:val="sr-Cyrl-CS"/>
        </w:rPr>
        <w:t xml:space="preserve"> </w:t>
      </w:r>
      <w:r w:rsidR="007B0AC7">
        <w:t>Упутство</w:t>
      </w:r>
      <w:r w:rsidR="007B0AC7" w:rsidRPr="007B0AC7">
        <w:t xml:space="preserve"> </w:t>
      </w:r>
      <w:r w:rsidR="007B0AC7">
        <w:t>садржи</w:t>
      </w:r>
      <w:r w:rsidR="007B0AC7" w:rsidRPr="007B0AC7">
        <w:t xml:space="preserve">: </w:t>
      </w:r>
    </w:p>
    <w:p w:rsid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основне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претпоставке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смернице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AC7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методологију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AC7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методологију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предлога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корисника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>;</w:t>
      </w:r>
    </w:p>
    <w:p w:rsidR="007B0AC7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AC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укључивање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>.</w:t>
      </w:r>
    </w:p>
    <w:p w:rsidR="00A85AFC" w:rsidRPr="007B0AC7" w:rsidRDefault="007B0AC7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супротна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смерницама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Упутства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локалној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дају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смернице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планирање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укупног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обима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субвенција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одлуци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министар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обуставити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пренос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трансферних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припадајућег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зараде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пореза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правних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7B0A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буџету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усклади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7B0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упутством</w:t>
      </w:r>
      <w:r w:rsidRPr="007B0AC7">
        <w:rPr>
          <w:rFonts w:ascii="Times New Roman" w:hAnsi="Times New Roman" w:cs="Times New Roman"/>
          <w:sz w:val="24"/>
          <w:szCs w:val="24"/>
        </w:rPr>
        <w:t>.</w:t>
      </w:r>
    </w:p>
    <w:p w:rsidR="00FF2232" w:rsidRPr="002F3F26" w:rsidRDefault="00600F05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  <w:r w:rsidR="00FF2232" w:rsidRPr="002F3F26">
        <w:rPr>
          <w:lang w:val="sr-Cyrl-CS"/>
        </w:rPr>
        <w:t xml:space="preserve">Чланом  40. Закона о буџетском систему предвиђено </w:t>
      </w:r>
      <w:r w:rsidR="00712F9A" w:rsidRPr="002F3F26">
        <w:rPr>
          <w:lang w:val="sr-Cyrl-CS"/>
        </w:rPr>
        <w:t>је да по добијању Фискалне стратегије</w:t>
      </w:r>
      <w:r w:rsidR="00FF2232" w:rsidRPr="002F3F26">
        <w:rPr>
          <w:lang w:val="sr-Cyrl-CS"/>
        </w:rPr>
        <w:t xml:space="preserve">, локални орган управе надлежан за финансије доставља директним и индиректним корисницима буџета </w:t>
      </w:r>
      <w:r w:rsidR="00FF2232" w:rsidRPr="007B5956">
        <w:rPr>
          <w:b/>
          <w:lang w:val="sr-Cyrl-CS"/>
        </w:rPr>
        <w:t>Упутство за припрему буџета</w:t>
      </w:r>
      <w:r w:rsidR="00FF2232" w:rsidRPr="002F3F26">
        <w:rPr>
          <w:lang w:val="sr-Cyrl-CS"/>
        </w:rPr>
        <w:t>, које треба да садржи:</w:t>
      </w:r>
    </w:p>
    <w:p w:rsidR="00944D27" w:rsidRPr="002F3F26" w:rsidRDefault="00944D27" w:rsidP="008730A0">
      <w:pPr>
        <w:jc w:val="both"/>
        <w:rPr>
          <w:lang w:val="sr-Cyrl-CS"/>
        </w:rPr>
      </w:pPr>
    </w:p>
    <w:p w:rsidR="00FF2232" w:rsidRPr="002F3F26" w:rsidRDefault="00FF2232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основне економске претпоставке и смернице за припрему нацрта буџета локалне власти;</w:t>
      </w:r>
    </w:p>
    <w:p w:rsidR="007B7794" w:rsidRPr="002F3F26" w:rsidRDefault="007B7794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опис пл</w:t>
      </w:r>
      <w:r w:rsidR="00712F9A" w:rsidRPr="002F3F26">
        <w:rPr>
          <w:lang w:val="sr-Cyrl-CS"/>
        </w:rPr>
        <w:t>аниране политике локалне власти;</w:t>
      </w:r>
    </w:p>
    <w:p w:rsidR="00FF2232" w:rsidRPr="002F3F26" w:rsidRDefault="00FF2232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процену прихода и примања и расхода и издатака буџета локалне власти за буџетску и наредне две фискалне године;</w:t>
      </w:r>
    </w:p>
    <w:p w:rsidR="00A97CE5" w:rsidRPr="002F3F26" w:rsidRDefault="00A97CE5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обим</w:t>
      </w:r>
      <w:r w:rsidR="00FF2232" w:rsidRPr="002F3F26">
        <w:rPr>
          <w:lang w:val="sr-Cyrl-CS"/>
        </w:rPr>
        <w:t xml:space="preserve"> средстава </w:t>
      </w:r>
      <w:r w:rsidRPr="002F3F26">
        <w:rPr>
          <w:lang w:val="sr-Cyrl-CS"/>
        </w:rPr>
        <w:t>које  може да садржи предлог финансијских</w:t>
      </w:r>
      <w:r w:rsidR="00FF2232" w:rsidRPr="002F3F26">
        <w:rPr>
          <w:lang w:val="sr-Cyrl-CS"/>
        </w:rPr>
        <w:t xml:space="preserve"> плановима директних и </w:t>
      </w:r>
      <w:r w:rsidRPr="002F3F26">
        <w:rPr>
          <w:lang w:val="sr-Cyrl-CS"/>
        </w:rPr>
        <w:t>индиректних буџетских корисника за буџетску годину, са пројекцијама за наредне две фискалне године;</w:t>
      </w:r>
    </w:p>
    <w:p w:rsidR="007B7794" w:rsidRPr="002F3F26" w:rsidRDefault="007B7794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смернице за припрему средњорочних планова директних корисника с</w:t>
      </w:r>
      <w:r w:rsidR="00712F9A" w:rsidRPr="002F3F26">
        <w:rPr>
          <w:lang w:val="sr-Cyrl-CS"/>
        </w:rPr>
        <w:t>редстава буџета локалних власти;</w:t>
      </w:r>
    </w:p>
    <w:p w:rsidR="00FF2232" w:rsidRDefault="00A97CE5" w:rsidP="008730A0">
      <w:pPr>
        <w:numPr>
          <w:ilvl w:val="0"/>
          <w:numId w:val="1"/>
        </w:numPr>
        <w:jc w:val="both"/>
        <w:rPr>
          <w:lang w:val="sr-Cyrl-CS"/>
        </w:rPr>
      </w:pPr>
      <w:r w:rsidRPr="002F3F26">
        <w:rPr>
          <w:lang w:val="sr-Cyrl-CS"/>
        </w:rPr>
        <w:t>поступак и динамику припреме</w:t>
      </w:r>
      <w:r w:rsidR="00FF2232" w:rsidRPr="002F3F26">
        <w:rPr>
          <w:lang w:val="sr-Cyrl-CS"/>
        </w:rPr>
        <w:t xml:space="preserve"> буџета и предлога финансијских планова директних буџетских корисника</w:t>
      </w:r>
      <w:r w:rsidR="00446F4F">
        <w:rPr>
          <w:lang w:val="sr-Cyrl-CS"/>
        </w:rPr>
        <w:t>;</w:t>
      </w:r>
    </w:p>
    <w:p w:rsidR="00446F4F" w:rsidRPr="00446F4F" w:rsidRDefault="00446F4F" w:rsidP="008730A0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образложењу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исказати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буџета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Pr="004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446F4F">
        <w:rPr>
          <w:rFonts w:ascii="Times New Roman" w:hAnsi="Times New Roman" w:cs="Times New Roman"/>
          <w:sz w:val="24"/>
          <w:szCs w:val="24"/>
        </w:rPr>
        <w:t>;</w:t>
      </w:r>
    </w:p>
    <w:p w:rsidR="00446F4F" w:rsidRPr="00446F4F" w:rsidRDefault="00446F4F" w:rsidP="008730A0">
      <w:pPr>
        <w:numPr>
          <w:ilvl w:val="0"/>
          <w:numId w:val="1"/>
        </w:numPr>
        <w:jc w:val="both"/>
        <w:rPr>
          <w:lang w:val="sr-Cyrl-CS"/>
        </w:rPr>
      </w:pPr>
      <w:r>
        <w:t>начин</w:t>
      </w:r>
      <w:r w:rsidRPr="00446F4F">
        <w:t xml:space="preserve"> </w:t>
      </w:r>
      <w:r>
        <w:t>на</w:t>
      </w:r>
      <w:r w:rsidRPr="00446F4F">
        <w:t xml:space="preserve"> </w:t>
      </w:r>
      <w:r>
        <w:t>који</w:t>
      </w:r>
      <w:r w:rsidRPr="00446F4F">
        <w:t xml:space="preserve"> </w:t>
      </w:r>
      <w:r>
        <w:t>ће</w:t>
      </w:r>
      <w:r w:rsidRPr="00446F4F">
        <w:t xml:space="preserve"> </w:t>
      </w:r>
      <w:r>
        <w:t>се</w:t>
      </w:r>
      <w:r w:rsidRPr="00446F4F">
        <w:t xml:space="preserve"> </w:t>
      </w:r>
      <w:r>
        <w:t>исказати</w:t>
      </w:r>
      <w:r w:rsidRPr="00446F4F">
        <w:t xml:space="preserve"> </w:t>
      </w:r>
      <w:r>
        <w:t>програмске</w:t>
      </w:r>
      <w:r w:rsidRPr="00446F4F">
        <w:t xml:space="preserve"> </w:t>
      </w:r>
      <w:r>
        <w:t>информације</w:t>
      </w:r>
      <w:r w:rsidRPr="00446F4F">
        <w:t>.</w:t>
      </w:r>
    </w:p>
    <w:p w:rsidR="00446F4F" w:rsidRPr="002F3F26" w:rsidRDefault="00446F4F" w:rsidP="008730A0">
      <w:pPr>
        <w:ind w:left="480"/>
        <w:jc w:val="both"/>
        <w:rPr>
          <w:lang w:val="sr-Cyrl-CS"/>
        </w:rPr>
      </w:pPr>
    </w:p>
    <w:p w:rsidR="00FF2232" w:rsidRPr="002F3F26" w:rsidRDefault="00FF2232" w:rsidP="008730A0">
      <w:pPr>
        <w:ind w:firstLine="720"/>
        <w:jc w:val="both"/>
        <w:rPr>
          <w:lang w:val="sr-Cyrl-CS"/>
        </w:rPr>
      </w:pPr>
      <w:r w:rsidRPr="002F3F26">
        <w:rPr>
          <w:lang w:val="sr-Cyrl-CS"/>
        </w:rPr>
        <w:lastRenderedPageBreak/>
        <w:t>Чланом 41. Закона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власти.</w:t>
      </w:r>
    </w:p>
    <w:p w:rsidR="00944D27" w:rsidRPr="002F3F26" w:rsidRDefault="00944D27" w:rsidP="008730A0">
      <w:pPr>
        <w:ind w:firstLine="720"/>
        <w:jc w:val="both"/>
        <w:rPr>
          <w:lang w:val="sr-Cyrl-CS"/>
        </w:rPr>
      </w:pP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  <w:r w:rsidRPr="00A240F1">
        <w:rPr>
          <w:lang w:val="sr-Cyrl-CS"/>
        </w:rPr>
        <w:t>Ди</w:t>
      </w:r>
      <w:r w:rsidR="004B58DD" w:rsidRPr="00A240F1">
        <w:rPr>
          <w:lang w:val="sr-Cyrl-CS"/>
        </w:rPr>
        <w:t>ректни корисници</w:t>
      </w:r>
      <w:r w:rsidR="002B3320" w:rsidRPr="00A240F1">
        <w:rPr>
          <w:color w:val="333333"/>
        </w:rPr>
        <w:t xml:space="preserve"> средстава буџета локалне власти</w:t>
      </w:r>
      <w:r w:rsidR="004B58DD" w:rsidRPr="00A240F1">
        <w:rPr>
          <w:lang w:val="sr-Cyrl-CS"/>
        </w:rPr>
        <w:t xml:space="preserve"> обавезни су</w:t>
      </w:r>
      <w:r w:rsidRPr="00A240F1">
        <w:rPr>
          <w:lang w:val="sr-Cyrl-CS"/>
        </w:rPr>
        <w:t xml:space="preserve"> да</w:t>
      </w:r>
      <w:r w:rsidR="00CC4D68" w:rsidRPr="00A240F1">
        <w:rPr>
          <w:lang w:val="sr-Cyrl-CS"/>
        </w:rPr>
        <w:t xml:space="preserve"> до 1. септембра</w:t>
      </w:r>
      <w:r w:rsidRPr="00A240F1">
        <w:rPr>
          <w:lang w:val="sr-Cyrl-CS"/>
        </w:rPr>
        <w:t xml:space="preserve"> </w:t>
      </w:r>
      <w:r w:rsidR="004B58DD" w:rsidRPr="00A240F1">
        <w:rPr>
          <w:color w:val="333333"/>
        </w:rPr>
        <w:t xml:space="preserve">доставе предлог финансијског плана локалном органу управе надлежном за финансије за буџетску и наредне две фискалне године, који садржи извештај о учинку програма за првих шест месеци текуће године. </w:t>
      </w:r>
      <w:r w:rsidRPr="00A240F1">
        <w:rPr>
          <w:lang w:val="sr-Cyrl-CS"/>
        </w:rPr>
        <w:t xml:space="preserve">Истим чланом је предвиђено и да локални орган управе надлежан за финансије може да тражи непосредно од индиректних буџетских </w:t>
      </w:r>
      <w:r w:rsidR="00676D33" w:rsidRPr="00A240F1">
        <w:rPr>
          <w:lang w:val="sr-Cyrl-CS"/>
        </w:rPr>
        <w:t>корисника податке о финансирању који</w:t>
      </w:r>
      <w:r w:rsidR="00676D33" w:rsidRPr="002F3F26">
        <w:rPr>
          <w:lang w:val="sr-Cyrl-CS"/>
        </w:rPr>
        <w:t xml:space="preserve"> су неопходни за припрему предлога буџета локалне власти.</w:t>
      </w:r>
    </w:p>
    <w:p w:rsidR="00204998" w:rsidRPr="002F3F26" w:rsidRDefault="00204998" w:rsidP="008730A0">
      <w:pPr>
        <w:jc w:val="both"/>
        <w:rPr>
          <w:lang w:val="en-GB"/>
        </w:rPr>
      </w:pPr>
    </w:p>
    <w:p w:rsidR="009F2775" w:rsidRPr="002F3F26" w:rsidRDefault="009F2775" w:rsidP="008730A0">
      <w:pPr>
        <w:ind w:firstLine="720"/>
        <w:jc w:val="both"/>
        <w:rPr>
          <w:lang w:val="en-GB"/>
        </w:rPr>
      </w:pPr>
      <w:r w:rsidRPr="002F3F26">
        <w:rPr>
          <w:lang w:val="sr-Cyrl-CS"/>
        </w:rPr>
        <w:t>У складу с</w:t>
      </w:r>
      <w:r w:rsidR="004C5807" w:rsidRPr="002F3F26">
        <w:rPr>
          <w:lang w:val="sr-Cyrl-CS"/>
        </w:rPr>
        <w:t>а чланом 27</w:t>
      </w:r>
      <w:r w:rsidRPr="002F3F26">
        <w:rPr>
          <w:lang w:val="sr-Cyrl-CS"/>
        </w:rPr>
        <w:t>в</w:t>
      </w:r>
      <w:r w:rsidR="004C5807" w:rsidRPr="002F3F26">
        <w:rPr>
          <w:lang w:val="sr-Cyrl-CS"/>
        </w:rPr>
        <w:t>.</w:t>
      </w:r>
      <w:r w:rsidR="00712F9A" w:rsidRPr="002F3F26">
        <w:rPr>
          <w:lang w:val="sr-Cyrl-CS"/>
        </w:rPr>
        <w:t xml:space="preserve"> </w:t>
      </w:r>
      <w:r w:rsidR="007649E3" w:rsidRPr="002F3F26">
        <w:rPr>
          <w:lang w:val="sr-Cyrl-CS"/>
        </w:rPr>
        <w:t xml:space="preserve">Закона о буџетском систему </w:t>
      </w:r>
      <w:r w:rsidR="006077B6" w:rsidRPr="002F3F26">
        <w:rPr>
          <w:lang w:val="sr-Cyrl-CS"/>
        </w:rPr>
        <w:t>В</w:t>
      </w:r>
      <w:r w:rsidRPr="002F3F26">
        <w:rPr>
          <w:lang w:val="sr-Cyrl-CS"/>
        </w:rPr>
        <w:t xml:space="preserve">лада сваке фискалне године подноси Народној </w:t>
      </w:r>
      <w:r w:rsidR="00712F9A" w:rsidRPr="002F3F26">
        <w:rPr>
          <w:lang w:val="sr-Cyrl-CS"/>
        </w:rPr>
        <w:t>скупштини Ф</w:t>
      </w:r>
      <w:r w:rsidRPr="002F3F26">
        <w:rPr>
          <w:lang w:val="sr-Cyrl-CS"/>
        </w:rPr>
        <w:t>ис</w:t>
      </w:r>
      <w:r w:rsidR="00897B74" w:rsidRPr="002F3F26">
        <w:rPr>
          <w:lang w:val="sr-Cyrl-CS"/>
        </w:rPr>
        <w:t>к</w:t>
      </w:r>
      <w:r w:rsidR="00712F9A" w:rsidRPr="002F3F26">
        <w:rPr>
          <w:lang w:val="sr-Cyrl-CS"/>
        </w:rPr>
        <w:t>алну стратегију</w:t>
      </w:r>
      <w:r w:rsidRPr="002F3F26">
        <w:rPr>
          <w:lang w:val="sr-Cyrl-CS"/>
        </w:rPr>
        <w:t xml:space="preserve">. Главни циљеви </w:t>
      </w:r>
      <w:r w:rsidR="00712F9A" w:rsidRPr="002F3F26">
        <w:rPr>
          <w:lang w:val="sr-Cyrl-CS"/>
        </w:rPr>
        <w:t>Фискалне стратегије</w:t>
      </w:r>
      <w:r w:rsidRPr="002F3F26">
        <w:rPr>
          <w:lang w:val="sr-Cyrl-CS"/>
        </w:rPr>
        <w:t xml:space="preserve"> су:</w:t>
      </w:r>
    </w:p>
    <w:p w:rsidR="00944D27" w:rsidRPr="002F3F26" w:rsidRDefault="00944D27" w:rsidP="008730A0">
      <w:pPr>
        <w:tabs>
          <w:tab w:val="left" w:pos="1260"/>
        </w:tabs>
        <w:jc w:val="both"/>
        <w:rPr>
          <w:lang w:val="sr-Cyrl-CS"/>
        </w:rPr>
      </w:pPr>
    </w:p>
    <w:p w:rsidR="00944D27" w:rsidRPr="002F3F26" w:rsidRDefault="009F2775" w:rsidP="008730A0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lang w:val="sr-Cyrl-CS"/>
        </w:rPr>
      </w:pPr>
      <w:r w:rsidRPr="002F3F26">
        <w:rPr>
          <w:lang w:val="sr-Cyrl-CS"/>
        </w:rPr>
        <w:t>утврђивање краткорочних и средњорочних циљева фискалне политике Владе за период од три узастопне фискалне године, почев од фискал</w:t>
      </w:r>
      <w:r w:rsidR="00712F9A" w:rsidRPr="002F3F26">
        <w:rPr>
          <w:lang w:val="sr-Cyrl-CS"/>
        </w:rPr>
        <w:t>не године за коју се Фискална стратегија</w:t>
      </w:r>
      <w:r w:rsidRPr="002F3F26">
        <w:rPr>
          <w:lang w:val="sr-Cyrl-CS"/>
        </w:rPr>
        <w:t xml:space="preserve"> подноси;</w:t>
      </w:r>
    </w:p>
    <w:p w:rsidR="00944D27" w:rsidRPr="002F3F26" w:rsidRDefault="009F2775" w:rsidP="008730A0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lang w:val="sr-Cyrl-CS"/>
        </w:rPr>
      </w:pPr>
      <w:r w:rsidRPr="002F3F26">
        <w:rPr>
          <w:lang w:val="sr-Cyrl-CS"/>
        </w:rPr>
        <w:t>пружање детаљног објашњења о усклађености наведених средњорочних циљева са фискалним принципима и правилима утврђеним овим законом;</w:t>
      </w:r>
    </w:p>
    <w:p w:rsidR="009F2775" w:rsidRPr="002F3F26" w:rsidRDefault="009F2775" w:rsidP="008730A0">
      <w:pPr>
        <w:pStyle w:val="ListParagraph"/>
        <w:numPr>
          <w:ilvl w:val="0"/>
          <w:numId w:val="8"/>
        </w:numPr>
        <w:tabs>
          <w:tab w:val="left" w:pos="1260"/>
        </w:tabs>
        <w:jc w:val="both"/>
        <w:rPr>
          <w:lang w:val="sr-Cyrl-CS"/>
        </w:rPr>
      </w:pPr>
      <w:r w:rsidRPr="002F3F26">
        <w:rPr>
          <w:lang w:val="sr-Cyrl-CS"/>
        </w:rPr>
        <w:t>процена утицаја фискалне политике на међугенерацијску расподелу дохотка, као и процена одрживости фискалне политике.</w:t>
      </w:r>
    </w:p>
    <w:p w:rsidR="007376AE" w:rsidRPr="002F3F26" w:rsidRDefault="007376AE" w:rsidP="008730A0">
      <w:pPr>
        <w:jc w:val="both"/>
        <w:rPr>
          <w:lang w:val="en-GB"/>
        </w:rPr>
      </w:pPr>
    </w:p>
    <w:p w:rsidR="003D30F3" w:rsidRDefault="00074135" w:rsidP="00DD7095">
      <w:pPr>
        <w:ind w:firstLine="720"/>
        <w:jc w:val="both"/>
        <w:rPr>
          <w:color w:val="000000" w:themeColor="text1"/>
        </w:rPr>
      </w:pPr>
      <w:r>
        <w:rPr>
          <w:lang w:val="sr-Cyrl-CS"/>
        </w:rPr>
        <w:t>Буџетским календаром, који је утврђен чланом</w:t>
      </w:r>
      <w:r w:rsidR="00897B74" w:rsidRPr="002F3F26">
        <w:rPr>
          <w:lang w:val="sr-Cyrl-CS"/>
        </w:rPr>
        <w:t xml:space="preserve"> 31</w:t>
      </w:r>
      <w:r w:rsidR="00E05419" w:rsidRPr="002F3F26">
        <w:rPr>
          <w:lang w:val="en-GB"/>
        </w:rPr>
        <w:t>.</w:t>
      </w:r>
      <w:r w:rsidR="00897B74" w:rsidRPr="002F3F26">
        <w:rPr>
          <w:lang w:val="sr-Cyrl-CS"/>
        </w:rPr>
        <w:t xml:space="preserve"> Закона о буџетском сис</w:t>
      </w:r>
      <w:r w:rsidR="00F210AE" w:rsidRPr="002F3F26">
        <w:rPr>
          <w:lang w:val="sr-Cyrl-CS"/>
        </w:rPr>
        <w:t>тему,</w:t>
      </w:r>
      <w:r>
        <w:rPr>
          <w:lang w:val="sr-Cyrl-CS"/>
        </w:rPr>
        <w:t xml:space="preserve"> предвиђено је да</w:t>
      </w:r>
      <w:r w:rsidR="00F210AE" w:rsidRPr="002F3F26">
        <w:rPr>
          <w:lang w:val="sr-Cyrl-CS"/>
        </w:rPr>
        <w:t xml:space="preserve"> </w:t>
      </w:r>
      <w:r w:rsidRPr="00074135">
        <w:rPr>
          <w:sz w:val="25"/>
          <w:szCs w:val="25"/>
        </w:rPr>
        <w:t>Влада</w:t>
      </w:r>
      <w:r>
        <w:rPr>
          <w:sz w:val="25"/>
          <w:szCs w:val="25"/>
        </w:rPr>
        <w:t xml:space="preserve"> Републике Србије </w:t>
      </w:r>
      <w:r>
        <w:rPr>
          <w:lang w:val="sr-Cyrl-CS"/>
        </w:rPr>
        <w:t xml:space="preserve">до </w:t>
      </w:r>
      <w:r>
        <w:rPr>
          <w:sz w:val="25"/>
          <w:szCs w:val="25"/>
        </w:rPr>
        <w:t xml:space="preserve">15. </w:t>
      </w:r>
      <w:r w:rsidR="00F36CD1">
        <w:rPr>
          <w:sz w:val="25"/>
          <w:szCs w:val="25"/>
        </w:rPr>
        <w:t>j</w:t>
      </w:r>
      <w:r>
        <w:rPr>
          <w:sz w:val="25"/>
          <w:szCs w:val="25"/>
        </w:rPr>
        <w:t>уна</w:t>
      </w:r>
      <w:r w:rsidR="00DD7095">
        <w:rPr>
          <w:sz w:val="25"/>
          <w:szCs w:val="25"/>
        </w:rPr>
        <w:t xml:space="preserve"> 2018</w:t>
      </w:r>
      <w:r w:rsidR="00F36CD1">
        <w:rPr>
          <w:sz w:val="25"/>
          <w:szCs w:val="25"/>
        </w:rPr>
        <w:t>. године</w:t>
      </w:r>
      <w:r>
        <w:rPr>
          <w:sz w:val="25"/>
          <w:szCs w:val="25"/>
        </w:rPr>
        <w:t xml:space="preserve"> усв</w:t>
      </w:r>
      <w:r w:rsidR="00463784">
        <w:rPr>
          <w:sz w:val="25"/>
          <w:szCs w:val="25"/>
        </w:rPr>
        <w:t>о</w:t>
      </w:r>
      <w:r>
        <w:rPr>
          <w:sz w:val="25"/>
          <w:szCs w:val="25"/>
        </w:rPr>
        <w:t>ји Фискалну стратегију</w:t>
      </w:r>
      <w:r w:rsidRPr="00074135">
        <w:rPr>
          <w:lang w:val="sr-Cyrl-CS"/>
        </w:rPr>
        <w:t xml:space="preserve"> </w:t>
      </w:r>
      <w:r w:rsidRPr="002F3F26">
        <w:rPr>
          <w:lang w:val="sr-Cyrl-CS"/>
        </w:rPr>
        <w:t>за 201</w:t>
      </w:r>
      <w:r w:rsidR="00DD7095">
        <w:t>9</w:t>
      </w:r>
      <w:r w:rsidR="00DD7095">
        <w:rPr>
          <w:lang w:val="sr-Cyrl-CS"/>
        </w:rPr>
        <w:t>. годину са пројекцијама за 20</w:t>
      </w:r>
      <w:r w:rsidR="00DD7095">
        <w:t>20</w:t>
      </w:r>
      <w:r w:rsidR="00DD7095">
        <w:rPr>
          <w:lang w:val="sr-Cyrl-CS"/>
        </w:rPr>
        <w:t>. и 202</w:t>
      </w:r>
      <w:r w:rsidR="00DD7095">
        <w:t>1</w:t>
      </w:r>
      <w:r w:rsidRPr="002F3F26">
        <w:rPr>
          <w:lang w:val="sr-Cyrl-CS"/>
        </w:rPr>
        <w:t xml:space="preserve">. </w:t>
      </w:r>
      <w:r>
        <w:rPr>
          <w:lang w:val="sr-Cyrl-CS"/>
        </w:rPr>
        <w:t>г</w:t>
      </w:r>
      <w:r w:rsidRPr="002F3F26">
        <w:rPr>
          <w:lang w:val="sr-Cyrl-CS"/>
        </w:rPr>
        <w:t>одину</w:t>
      </w:r>
      <w:r>
        <w:rPr>
          <w:lang w:val="sr-Cyrl-CS"/>
        </w:rPr>
        <w:t>,</w:t>
      </w:r>
      <w:r>
        <w:rPr>
          <w:sz w:val="25"/>
          <w:szCs w:val="25"/>
        </w:rPr>
        <w:t xml:space="preserve"> и достави је Народној скупштини на разматрање, као и локалној власти.</w:t>
      </w:r>
      <w:r w:rsidR="00463784">
        <w:rPr>
          <w:sz w:val="25"/>
          <w:szCs w:val="25"/>
        </w:rPr>
        <w:t xml:space="preserve"> У овом року </w:t>
      </w:r>
      <w:r w:rsidR="00DC4F8D">
        <w:rPr>
          <w:lang w:val="sr-Cyrl-CS"/>
        </w:rPr>
        <w:t xml:space="preserve"> </w:t>
      </w:r>
      <w:r w:rsidR="00463784">
        <w:rPr>
          <w:lang w:val="sr-Cyrl-CS"/>
        </w:rPr>
        <w:t>влада није усвојила</w:t>
      </w:r>
      <w:r w:rsidR="00463784" w:rsidRPr="00463784">
        <w:rPr>
          <w:sz w:val="25"/>
          <w:szCs w:val="25"/>
        </w:rPr>
        <w:t xml:space="preserve"> </w:t>
      </w:r>
      <w:r w:rsidR="00463784">
        <w:rPr>
          <w:sz w:val="25"/>
          <w:szCs w:val="25"/>
        </w:rPr>
        <w:t>Фискалну стратегију</w:t>
      </w:r>
      <w:r w:rsidR="00785244">
        <w:rPr>
          <w:sz w:val="25"/>
          <w:szCs w:val="25"/>
        </w:rPr>
        <w:t>. Такође,</w:t>
      </w:r>
      <w:r w:rsidR="00463784">
        <w:rPr>
          <w:lang w:val="sr-Cyrl-CS"/>
        </w:rPr>
        <w:t xml:space="preserve"> </w:t>
      </w:r>
      <w:r w:rsidR="00785244">
        <w:rPr>
          <w:lang w:val="sr-Cyrl-CS"/>
        </w:rPr>
        <w:t>д</w:t>
      </w:r>
      <w:r w:rsidR="00DC4F8D">
        <w:rPr>
          <w:lang w:val="sr-Cyrl-CS"/>
        </w:rPr>
        <w:t>о истека законског рока</w:t>
      </w:r>
      <w:r w:rsidR="00785244">
        <w:rPr>
          <w:lang w:val="sr-Cyrl-CS"/>
        </w:rPr>
        <w:t xml:space="preserve">, 5. </w:t>
      </w:r>
      <w:r w:rsidR="00091E72">
        <w:t>j</w:t>
      </w:r>
      <w:r w:rsidR="00785244">
        <w:rPr>
          <w:lang w:val="sr-Cyrl-CS"/>
        </w:rPr>
        <w:t>ула</w:t>
      </w:r>
      <w:r w:rsidR="00EF0FAD">
        <w:t xml:space="preserve"> 2018</w:t>
      </w:r>
      <w:r w:rsidR="00091E72">
        <w:t>. године</w:t>
      </w:r>
      <w:r w:rsidR="00785244">
        <w:rPr>
          <w:lang w:val="sr-Cyrl-CS"/>
        </w:rPr>
        <w:t>,</w:t>
      </w:r>
      <w:r w:rsidR="00DC4F8D">
        <w:rPr>
          <w:lang w:val="sr-Cyrl-CS"/>
        </w:rPr>
        <w:t xml:space="preserve"> М</w:t>
      </w:r>
      <w:r w:rsidR="003C5E65" w:rsidRPr="002F3F26">
        <w:rPr>
          <w:lang w:val="sr-Cyrl-CS"/>
        </w:rPr>
        <w:t>инистарство надле</w:t>
      </w:r>
      <w:r w:rsidR="0085423A" w:rsidRPr="002F3F26">
        <w:rPr>
          <w:lang w:val="sr-Cyrl-CS"/>
        </w:rPr>
        <w:t>жно за послове финансија није доставило локалним самоуправа</w:t>
      </w:r>
      <w:r w:rsidR="00C5330C" w:rsidRPr="002F3F26">
        <w:rPr>
          <w:lang w:val="sr-Cyrl-CS"/>
        </w:rPr>
        <w:t>ма</w:t>
      </w:r>
      <w:r w:rsidR="0085423A" w:rsidRPr="002F3F26">
        <w:rPr>
          <w:lang w:val="sr-Cyrl-CS"/>
        </w:rPr>
        <w:t xml:space="preserve"> У</w:t>
      </w:r>
      <w:r w:rsidR="008205FA" w:rsidRPr="002F3F26">
        <w:rPr>
          <w:lang w:val="sr-Cyrl-CS"/>
        </w:rPr>
        <w:t>путство за израду буџета за 201</w:t>
      </w:r>
      <w:r w:rsidR="00F04366">
        <w:t>9</w:t>
      </w:r>
      <w:r w:rsidR="0085423A" w:rsidRPr="002F3F26">
        <w:rPr>
          <w:lang w:val="sr-Cyrl-CS"/>
        </w:rPr>
        <w:t>. години.</w:t>
      </w:r>
      <w:r w:rsidR="001761C6" w:rsidRPr="002F3F26">
        <w:rPr>
          <w:lang w:val="sr-Cyrl-CS"/>
        </w:rPr>
        <w:t xml:space="preserve"> </w:t>
      </w:r>
      <w:r w:rsidR="001761C6" w:rsidRPr="002F3F26">
        <w:rPr>
          <w:rFonts w:eastAsiaTheme="minorHAnsi"/>
        </w:rPr>
        <w:t>Из тог разлога процес планирања</w:t>
      </w:r>
      <w:r w:rsidR="001761C6" w:rsidRPr="002F3F26">
        <w:rPr>
          <w:rFonts w:eastAsiaTheme="minorHAnsi"/>
          <w:lang w:val="sr-Cyrl-CS"/>
        </w:rPr>
        <w:t xml:space="preserve"> </w:t>
      </w:r>
      <w:r w:rsidR="001761C6" w:rsidRPr="002F3F26">
        <w:rPr>
          <w:rFonts w:eastAsiaTheme="minorHAnsi"/>
        </w:rPr>
        <w:t xml:space="preserve">буџета Општине </w:t>
      </w:r>
      <w:r w:rsidR="001761C6" w:rsidRPr="002F3F26">
        <w:rPr>
          <w:rFonts w:eastAsiaTheme="minorHAnsi"/>
          <w:lang w:val="sr-Cyrl-CS"/>
        </w:rPr>
        <w:t>Горњи Милановац</w:t>
      </w:r>
      <w:r w:rsidR="001761C6" w:rsidRPr="002F3F26">
        <w:rPr>
          <w:rFonts w:eastAsiaTheme="minorHAnsi"/>
        </w:rPr>
        <w:t xml:space="preserve"> започиње на ос</w:t>
      </w:r>
      <w:r w:rsidR="00EF0FAD">
        <w:rPr>
          <w:rFonts w:eastAsiaTheme="minorHAnsi"/>
        </w:rPr>
        <w:t>нову Фискалне стратегије за 2018</w:t>
      </w:r>
      <w:r w:rsidR="001761C6" w:rsidRPr="002F3F26">
        <w:rPr>
          <w:rFonts w:eastAsiaTheme="minorHAnsi"/>
        </w:rPr>
        <w:t>.</w:t>
      </w:r>
      <w:r w:rsidR="00054AB0">
        <w:rPr>
          <w:rFonts w:eastAsiaTheme="minorHAnsi"/>
        </w:rPr>
        <w:t xml:space="preserve"> </w:t>
      </w:r>
      <w:r w:rsidR="001761C6" w:rsidRPr="002F3F26">
        <w:rPr>
          <w:rFonts w:eastAsiaTheme="minorHAnsi"/>
        </w:rPr>
        <w:t>годину са пројекцијама за 201</w:t>
      </w:r>
      <w:r w:rsidR="00EF0FAD">
        <w:rPr>
          <w:rFonts w:eastAsiaTheme="minorHAnsi"/>
        </w:rPr>
        <w:t>9. и 2020</w:t>
      </w:r>
      <w:r w:rsidR="00B649E1">
        <w:rPr>
          <w:rFonts w:eastAsiaTheme="minorHAnsi"/>
        </w:rPr>
        <w:t>. годину</w:t>
      </w:r>
      <w:r w:rsidR="00993B19">
        <w:rPr>
          <w:rFonts w:eastAsiaTheme="minorHAnsi"/>
        </w:rPr>
        <w:t>,</w:t>
      </w:r>
      <w:r w:rsidR="00B649E1">
        <w:rPr>
          <w:rFonts w:eastAsiaTheme="minorHAnsi"/>
        </w:rPr>
        <w:t xml:space="preserve"> као и</w:t>
      </w:r>
      <w:r w:rsidR="00B649E1" w:rsidRPr="00B649E1">
        <w:rPr>
          <w:b/>
          <w:color w:val="000000" w:themeColor="text1"/>
        </w:rPr>
        <w:t xml:space="preserve"> </w:t>
      </w:r>
      <w:r w:rsidR="00B649E1" w:rsidRPr="00250F94">
        <w:rPr>
          <w:b/>
          <w:color w:val="000000" w:themeColor="text1"/>
        </w:rPr>
        <w:t>Програм</w:t>
      </w:r>
      <w:r w:rsidR="00B649E1">
        <w:rPr>
          <w:b/>
          <w:color w:val="000000" w:themeColor="text1"/>
        </w:rPr>
        <w:t>а</w:t>
      </w:r>
      <w:r w:rsidR="00B649E1" w:rsidRPr="00250F94">
        <w:rPr>
          <w:b/>
          <w:color w:val="000000" w:themeColor="text1"/>
        </w:rPr>
        <w:t xml:space="preserve"> екон</w:t>
      </w:r>
      <w:r w:rsidR="00967FB1">
        <w:rPr>
          <w:b/>
          <w:color w:val="000000" w:themeColor="text1"/>
        </w:rPr>
        <w:t xml:space="preserve">омских </w:t>
      </w:r>
      <w:r w:rsidR="00967FB1" w:rsidRPr="003D30F3">
        <w:rPr>
          <w:b/>
          <w:color w:val="000000" w:themeColor="text1"/>
        </w:rPr>
        <w:t xml:space="preserve">реформи </w:t>
      </w:r>
      <w:r w:rsidR="00A240F1" w:rsidRPr="003D30F3">
        <w:rPr>
          <w:b/>
          <w:color w:val="212529"/>
        </w:rPr>
        <w:t>за период 2018 - 2020. године</w:t>
      </w:r>
      <w:r w:rsidR="00A240F1" w:rsidRPr="003D30F3">
        <w:rPr>
          <w:bCs/>
        </w:rPr>
        <w:t xml:space="preserve"> </w:t>
      </w:r>
      <w:r w:rsidR="00967FB1" w:rsidRPr="003D30F3">
        <w:rPr>
          <w:bCs/>
        </w:rPr>
        <w:t>који</w:t>
      </w:r>
      <w:r w:rsidR="00A240F1" w:rsidRPr="003D30F3">
        <w:rPr>
          <w:bCs/>
        </w:rPr>
        <w:t xml:space="preserve"> je</w:t>
      </w:r>
      <w:r w:rsidR="00967FB1" w:rsidRPr="003D30F3">
        <w:rPr>
          <w:bCs/>
        </w:rPr>
        <w:t xml:space="preserve"> </w:t>
      </w:r>
      <w:r w:rsidR="00A240F1" w:rsidRPr="003D30F3">
        <w:rPr>
          <w:color w:val="212529"/>
        </w:rPr>
        <w:t>Влада Републике Србије усвојила 31. јануара 2018.</w:t>
      </w:r>
      <w:r w:rsidR="00A240F1" w:rsidRPr="003E61DE">
        <w:rPr>
          <w:color w:val="212529"/>
          <w:shd w:val="clear" w:color="auto" w:fill="92D050"/>
        </w:rPr>
        <w:t xml:space="preserve"> </w:t>
      </w:r>
      <w:r w:rsidR="00F600B6" w:rsidRPr="00F600B6">
        <w:rPr>
          <w:color w:val="000000" w:themeColor="text1"/>
        </w:rPr>
        <w:t xml:space="preserve"> </w:t>
      </w:r>
    </w:p>
    <w:p w:rsidR="00F600B6" w:rsidRDefault="00AE5058" w:rsidP="00DD7095">
      <w:pPr>
        <w:ind w:firstLine="720"/>
        <w:jc w:val="both"/>
        <w:rPr>
          <w:color w:val="000000" w:themeColor="text1"/>
        </w:rPr>
      </w:pPr>
      <w:r w:rsidRPr="00F600B6">
        <w:rPr>
          <w:color w:val="000000" w:themeColor="text1"/>
        </w:rPr>
        <w:t>Приоритетне структурне реформе</w:t>
      </w:r>
      <w:r w:rsidR="00F600B6">
        <w:rPr>
          <w:color w:val="000000" w:themeColor="text1"/>
        </w:rPr>
        <w:t xml:space="preserve"> </w:t>
      </w:r>
      <w:r w:rsidRPr="00AE5058">
        <w:rPr>
          <w:color w:val="000000" w:themeColor="text1"/>
        </w:rPr>
        <w:t xml:space="preserve">организоване </w:t>
      </w:r>
      <w:r w:rsidR="00F600B6">
        <w:rPr>
          <w:color w:val="000000" w:themeColor="text1"/>
        </w:rPr>
        <w:t>с</w:t>
      </w:r>
      <w:r w:rsidRPr="00AE5058">
        <w:rPr>
          <w:color w:val="000000" w:themeColor="text1"/>
        </w:rPr>
        <w:t>у</w:t>
      </w:r>
      <w:r w:rsidR="00F600B6">
        <w:rPr>
          <w:color w:val="000000" w:themeColor="text1"/>
        </w:rPr>
        <w:t xml:space="preserve"> у</w:t>
      </w:r>
      <w:r w:rsidRPr="00AE5058">
        <w:rPr>
          <w:color w:val="000000" w:themeColor="text1"/>
        </w:rPr>
        <w:t xml:space="preserve"> осам </w:t>
      </w:r>
      <w:r w:rsidR="00F600B6">
        <w:rPr>
          <w:color w:val="000000" w:themeColor="text1"/>
        </w:rPr>
        <w:t>кључних области:</w:t>
      </w:r>
    </w:p>
    <w:p w:rsidR="00F600B6" w:rsidRPr="00F600B6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управљање јавним финансијама;</w:t>
      </w:r>
    </w:p>
    <w:p w:rsidR="00F600B6" w:rsidRPr="00F600B6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 xml:space="preserve">инфраструктура; </w:t>
      </w:r>
    </w:p>
    <w:p w:rsidR="00F600B6" w:rsidRPr="00F600B6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развој сектора пољопривреде, индустрије и услуга;</w:t>
      </w:r>
    </w:p>
    <w:p w:rsidR="00F600B6" w:rsidRPr="00F600B6" w:rsidRDefault="003956B1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</w:rPr>
        <w:t xml:space="preserve">пословни амбијент </w:t>
      </w:r>
      <w:r w:rsidR="00AE5058" w:rsidRPr="00F600B6">
        <w:rPr>
          <w:color w:val="000000" w:themeColor="text1"/>
        </w:rPr>
        <w:t>и борба против сиве економије;</w:t>
      </w:r>
    </w:p>
    <w:p w:rsidR="00F600B6" w:rsidRPr="00F600B6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технолошка апсорпција и иновације;</w:t>
      </w:r>
    </w:p>
    <w:p w:rsidR="00F600B6" w:rsidRPr="00F600B6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трговинска интегрисаност, запосленост и тржиште рада;</w:t>
      </w:r>
    </w:p>
    <w:p w:rsidR="003956B1" w:rsidRPr="003956B1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социјално укључивање, смањење сиромаштва и</w:t>
      </w:r>
    </w:p>
    <w:p w:rsidR="00EF0FAD" w:rsidRPr="00EF0FAD" w:rsidRDefault="00AE5058" w:rsidP="00DD7095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sr-Cyrl-CS"/>
        </w:rPr>
      </w:pPr>
      <w:r w:rsidRPr="00F600B6">
        <w:rPr>
          <w:color w:val="000000" w:themeColor="text1"/>
        </w:rPr>
        <w:t>п</w:t>
      </w:r>
      <w:r w:rsidR="00F600B6">
        <w:rPr>
          <w:color w:val="000000" w:themeColor="text1"/>
        </w:rPr>
        <w:t>ромовисање једнаких могућности.</w:t>
      </w:r>
    </w:p>
    <w:p w:rsidR="00EF0FAD" w:rsidRDefault="00EF0FAD" w:rsidP="00EF0FAD">
      <w:pPr>
        <w:jc w:val="both"/>
      </w:pPr>
      <w:r>
        <w:rPr>
          <w:bCs/>
        </w:rPr>
        <w:tab/>
      </w:r>
      <w:r w:rsidRPr="00780766">
        <w:rPr>
          <w:bCs/>
        </w:rPr>
        <w:t>Захваљујући мерама фискалне консолидације створен је фискални простор за нове политике, који ће у 2018. години бити искоришћен за повећање капиталних инвестиција, повећање пензија и плата у једном делу јавног сектора и смањење пореског оптерећења зарада</w:t>
      </w:r>
      <w:r w:rsidRPr="00780766">
        <w:t>. Ове мере и њихове фискалне</w:t>
      </w:r>
      <w:r w:rsidRPr="00EF0FAD">
        <w:t xml:space="preserve"> импликације дизајниране су тако да не угрозе стабилност јавних финансија и темпо смањења јавног дуга, а са друге стране да подигну животни стандард становништва, стимулишу приватну потрошњу и убрзају привредни развој.</w:t>
      </w:r>
    </w:p>
    <w:p w:rsidR="00431EB9" w:rsidRPr="00431EB9" w:rsidRDefault="00431EB9" w:rsidP="00EF0FAD">
      <w:pPr>
        <w:jc w:val="both"/>
      </w:pPr>
    </w:p>
    <w:p w:rsidR="00431EB9" w:rsidRPr="005550BA" w:rsidRDefault="00431EB9" w:rsidP="00A240F1">
      <w:pPr>
        <w:pStyle w:val="Default"/>
        <w:ind w:firstLine="720"/>
        <w:jc w:val="both"/>
        <w:rPr>
          <w:color w:val="auto"/>
          <w:sz w:val="48"/>
          <w:szCs w:val="48"/>
        </w:rPr>
      </w:pPr>
      <w:r w:rsidRPr="005550BA">
        <w:rPr>
          <w:color w:val="auto"/>
          <w:lang w:val="sr-Cyrl-CS"/>
        </w:rPr>
        <w:t xml:space="preserve">Према подацима објављеним на сајту Министарства финансија од </w:t>
      </w:r>
      <w:r>
        <w:rPr>
          <w:color w:val="auto"/>
          <w:lang w:val="sr-Cyrl-CS"/>
        </w:rPr>
        <w:t>13. јула 2018</w:t>
      </w:r>
      <w:r w:rsidRPr="005550BA">
        <w:rPr>
          <w:color w:val="auto"/>
          <w:lang w:val="sr-Cyrl-CS"/>
        </w:rPr>
        <w:t xml:space="preserve"> године, а које је припремио С</w:t>
      </w:r>
      <w:r w:rsidRPr="005550BA">
        <w:rPr>
          <w:bCs/>
          <w:color w:val="auto"/>
        </w:rPr>
        <w:t xml:space="preserve">ектор за макроекономске и фискалне анализе и пројекције </w:t>
      </w:r>
    </w:p>
    <w:p w:rsidR="00431EB9" w:rsidRPr="00B04C26" w:rsidRDefault="00431EB9" w:rsidP="00A240F1">
      <w:pPr>
        <w:jc w:val="both"/>
        <w:rPr>
          <w:lang w:val="sr-Cyrl-CS"/>
        </w:rPr>
      </w:pPr>
      <w:r>
        <w:rPr>
          <w:bCs/>
        </w:rPr>
        <w:t xml:space="preserve"> у првом кварталу 2018</w:t>
      </w:r>
      <w:r w:rsidRPr="005550BA">
        <w:rPr>
          <w:bCs/>
        </w:rPr>
        <w:t xml:space="preserve">. године </w:t>
      </w:r>
      <w:r w:rsidR="00B04C26">
        <w:rPr>
          <w:bCs/>
        </w:rPr>
        <w:t>п</w:t>
      </w:r>
      <w:r w:rsidR="00B04C26" w:rsidRPr="00B04C26">
        <w:rPr>
          <w:bCs/>
        </w:rPr>
        <w:t>ривредна активност је остварила снажан реалан међугодишњи раст од 4,6%.</w:t>
      </w:r>
    </w:p>
    <w:p w:rsidR="00431EB9" w:rsidRPr="00B04C26" w:rsidRDefault="00431EB9" w:rsidP="00EF0FAD">
      <w:pPr>
        <w:jc w:val="both"/>
      </w:pPr>
    </w:p>
    <w:p w:rsidR="00D03C7A" w:rsidRPr="005550BA" w:rsidRDefault="005550BA" w:rsidP="005550B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D03C7A" w:rsidRPr="005550BA">
        <w:rPr>
          <w:rFonts w:eastAsiaTheme="minorHAnsi"/>
        </w:rPr>
        <w:t>На нивоу опште државе у првих пет месеци забележен је фискални суфицит у износу од</w:t>
      </w:r>
      <w:r>
        <w:rPr>
          <w:rFonts w:eastAsiaTheme="minorHAnsi"/>
        </w:rPr>
        <w:t xml:space="preserve"> </w:t>
      </w:r>
      <w:r w:rsidR="00D03C7A" w:rsidRPr="005550BA">
        <w:rPr>
          <w:rFonts w:eastAsiaTheme="minorHAnsi"/>
        </w:rPr>
        <w:t>9,3 млрд динара и примарни фискални суфицит у износу од 66 млрд динара.</w:t>
      </w:r>
    </w:p>
    <w:p w:rsidR="005550BA" w:rsidRPr="005550BA" w:rsidRDefault="00D03C7A" w:rsidP="005550BA">
      <w:pPr>
        <w:autoSpaceDE w:val="0"/>
        <w:autoSpaceDN w:val="0"/>
        <w:adjustRightInd w:val="0"/>
        <w:jc w:val="both"/>
        <w:rPr>
          <w:rFonts w:eastAsiaTheme="minorHAnsi"/>
        </w:rPr>
      </w:pPr>
      <w:r w:rsidRPr="005550BA">
        <w:rPr>
          <w:rFonts w:eastAsiaTheme="minorHAnsi"/>
        </w:rPr>
        <w:t>Збирни суфицит локалних самоуправа (општина и г</w:t>
      </w:r>
      <w:r w:rsidR="005550BA">
        <w:rPr>
          <w:rFonts w:eastAsiaTheme="minorHAnsi"/>
        </w:rPr>
        <w:t>радова) износи 8,1 млрд динара,</w:t>
      </w:r>
    </w:p>
    <w:p w:rsidR="00DD7095" w:rsidRPr="001D2789" w:rsidRDefault="005550BA" w:rsidP="005550BA">
      <w:pPr>
        <w:jc w:val="both"/>
        <w:rPr>
          <w:bCs/>
        </w:rPr>
      </w:pPr>
      <w:r>
        <w:rPr>
          <w:rFonts w:eastAsiaTheme="minorHAnsi"/>
        </w:rPr>
        <w:tab/>
      </w:r>
      <w:r w:rsidRPr="005550BA">
        <w:rPr>
          <w:bCs/>
        </w:rPr>
        <w:t xml:space="preserve"> У Q12018. </w:t>
      </w:r>
      <w:r>
        <w:rPr>
          <w:bCs/>
        </w:rPr>
        <w:t>г</w:t>
      </w:r>
      <w:r w:rsidRPr="005550BA">
        <w:rPr>
          <w:bCs/>
        </w:rPr>
        <w:t>одине раст домаће тражње је убрзан растом личне потрошње и инвестиција (и приватних и јавних). То потврђују реални раст зарада и запослености у приватном сектору, раст новоодобрених готовинских кредита становништву, раст промета у трговини на мало, као и раст грађевинских радовауз снажан раст капиталних инвестиција државе.</w:t>
      </w:r>
      <w:r w:rsidRPr="005550BA">
        <w:rPr>
          <w:b/>
          <w:bCs/>
          <w:sz w:val="28"/>
          <w:szCs w:val="28"/>
        </w:rPr>
        <w:t xml:space="preserve"> </w:t>
      </w:r>
      <w:r w:rsidRPr="001D2789">
        <w:rPr>
          <w:bCs/>
        </w:rPr>
        <w:t>Побољшање конкурентске позиције привреде, стабилно растући прилив страних директних инвестиција, пре свега у извозно орјентисане компаније, резултирали су значајним растом извоза и обима спољнотрговинске размене. У Q12018. године извоз је</w:t>
      </w:r>
      <w:r w:rsidR="00330B05">
        <w:rPr>
          <w:bCs/>
        </w:rPr>
        <w:t xml:space="preserve"> </w:t>
      </w:r>
      <w:r w:rsidRPr="001D2789">
        <w:rPr>
          <w:bCs/>
        </w:rPr>
        <w:t>више него дуплиран у односу на ниво из преткризног периода и носилац је привредног раста који је подржан и снажним растом инвестиција</w:t>
      </w:r>
      <w:r w:rsidR="00D42BAB" w:rsidRPr="001D2789">
        <w:rPr>
          <w:bCs/>
        </w:rPr>
        <w:t>.</w:t>
      </w:r>
    </w:p>
    <w:p w:rsidR="00D42BAB" w:rsidRPr="001D2789" w:rsidRDefault="001D2789" w:rsidP="005550BA">
      <w:pPr>
        <w:jc w:val="both"/>
        <w:rPr>
          <w:bCs/>
        </w:rPr>
      </w:pPr>
      <w:r>
        <w:rPr>
          <w:bCs/>
        </w:rPr>
        <w:tab/>
      </w:r>
      <w:r w:rsidR="00D42BAB" w:rsidRPr="001D2789">
        <w:rPr>
          <w:bCs/>
        </w:rPr>
        <w:t>Према подацима из Анкете о радној снази у првом кварталу 2018. године, на међугодишњем нивоу, стопа незапослености је благо повећана и износила је 14,8%. Истовремено,број запослених је повећан за 1,4% при чему је број формално запослених повећан за 1,9%, а број неформално запослених смањен за 0.8%.</w:t>
      </w:r>
    </w:p>
    <w:p w:rsidR="00CD1BDA" w:rsidRPr="00CD1BDA" w:rsidRDefault="00CD1BDA" w:rsidP="00CD1BDA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D1BDA" w:rsidRPr="001D2789" w:rsidRDefault="001D2789" w:rsidP="00CD1BDA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CD1BDA" w:rsidRPr="001D2789">
        <w:rPr>
          <w:rFonts w:eastAsiaTheme="minorHAnsi"/>
          <w:bCs/>
        </w:rPr>
        <w:t>Просечан број формално запослених у мају 2018. године, према подацима из Централног регистра обавезног социјалног осигурања, повећан је за 3,7% мг, што је у потпуности резултат раста запослености у приватном сектору (6,1%), док је у јавном сектору број запослених смањен за 1,5</w:t>
      </w:r>
      <w:r w:rsidR="00330B05">
        <w:rPr>
          <w:rFonts w:eastAsiaTheme="minorHAnsi"/>
          <w:bCs/>
        </w:rPr>
        <w:t>%</w:t>
      </w:r>
      <w:r w:rsidR="00CD1BDA" w:rsidRPr="001D2789">
        <w:rPr>
          <w:rFonts w:eastAsiaTheme="minorHAnsi"/>
          <w:bCs/>
        </w:rPr>
        <w:t>. У првих пет месеци број запослених је порастао за 3,7% мг. Истовремено, раст запослености забележен је у прерађивачкој индустрији, трговини и др, што је у складу са повољним економским кретањима у овим секторима.</w:t>
      </w:r>
    </w:p>
    <w:p w:rsidR="00F05F10" w:rsidRPr="00F05F10" w:rsidRDefault="00F05F10" w:rsidP="00F05F10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F05F10" w:rsidRPr="001D2789" w:rsidRDefault="001D2789" w:rsidP="00F05F10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F05F10" w:rsidRPr="001D2789">
        <w:rPr>
          <w:rFonts w:eastAsiaTheme="minorHAnsi"/>
          <w:bCs/>
        </w:rPr>
        <w:t>Укупна спољнотрговинска размена Србије у периоду јануар-мај 2018. године износила је 15,1 млрд ЕУР, што представља повећање од 9,3% мг.</w:t>
      </w:r>
    </w:p>
    <w:p w:rsidR="00005992" w:rsidRPr="00CE4A81" w:rsidRDefault="001D2789" w:rsidP="00CE4A81">
      <w:pPr>
        <w:jc w:val="both"/>
        <w:rPr>
          <w:bCs/>
        </w:rPr>
      </w:pPr>
      <w:r>
        <w:rPr>
          <w:bCs/>
        </w:rPr>
        <w:tab/>
      </w:r>
    </w:p>
    <w:p w:rsidR="00B77C72" w:rsidRPr="001D2789" w:rsidRDefault="001D2789" w:rsidP="00005992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005992" w:rsidRPr="001D2789">
        <w:rPr>
          <w:rFonts w:eastAsiaTheme="minorHAnsi"/>
          <w:bCs/>
        </w:rPr>
        <w:t>У периоду јануар-мај 2018. године,на нивоу опште државе остварен је фискални суфицит у износу од 9,3 млрд динара, док је у истом периоду 2017. године суфицит опште државе износио 22,8 млрд динара.</w:t>
      </w:r>
      <w:r>
        <w:rPr>
          <w:rFonts w:eastAsiaTheme="minorHAnsi"/>
          <w:bCs/>
        </w:rPr>
        <w:t xml:space="preserve"> </w:t>
      </w:r>
      <w:r w:rsidR="00B77C72" w:rsidRPr="001D2789">
        <w:rPr>
          <w:bCs/>
        </w:rPr>
        <w:t>Током Q12018. године остварен је истовремено примарни и укупни фискални суфицит.</w:t>
      </w:r>
    </w:p>
    <w:p w:rsidR="00207AFA" w:rsidRPr="008E21A7" w:rsidRDefault="005E2B65" w:rsidP="008730A0">
      <w:pPr>
        <w:tabs>
          <w:tab w:val="left" w:pos="3828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</w:t>
      </w:r>
    </w:p>
    <w:p w:rsidR="003E61DE" w:rsidRDefault="003E61DE" w:rsidP="008730A0">
      <w:pPr>
        <w:pStyle w:val="Default"/>
        <w:ind w:firstLine="720"/>
        <w:jc w:val="both"/>
        <w:rPr>
          <w:color w:val="212529"/>
          <w:shd w:val="clear" w:color="auto" w:fill="92D050"/>
        </w:rPr>
      </w:pPr>
      <w:r w:rsidRPr="00A21277">
        <w:rPr>
          <w:color w:val="212529"/>
        </w:rPr>
        <w:t xml:space="preserve">Влада Републике Србије је усвојила 31. јануара 2018. године </w:t>
      </w:r>
      <w:r w:rsidRPr="00A21277">
        <w:rPr>
          <w:b/>
          <w:color w:val="212529"/>
        </w:rPr>
        <w:t>Програм економских реформи за период 2018</w:t>
      </w:r>
      <w:r w:rsidR="00CE4A81" w:rsidRPr="00A21277">
        <w:rPr>
          <w:b/>
          <w:color w:val="212529"/>
        </w:rPr>
        <w:t xml:space="preserve"> </w:t>
      </w:r>
      <w:r w:rsidRPr="00A21277">
        <w:rPr>
          <w:b/>
          <w:color w:val="212529"/>
        </w:rPr>
        <w:t>-</w:t>
      </w:r>
      <w:r w:rsidR="00CE4A81" w:rsidRPr="00A21277">
        <w:rPr>
          <w:b/>
          <w:color w:val="212529"/>
        </w:rPr>
        <w:t xml:space="preserve"> </w:t>
      </w:r>
      <w:r w:rsidRPr="00A21277">
        <w:rPr>
          <w:b/>
          <w:color w:val="212529"/>
        </w:rPr>
        <w:t>2020. године</w:t>
      </w:r>
      <w:r w:rsidRPr="00A21277">
        <w:rPr>
          <w:color w:val="212529"/>
        </w:rPr>
        <w:t>, као најважнији стратешки документ у економском дијалогу са Европском комисијом и државама чланицама</w:t>
      </w:r>
      <w:r w:rsidRPr="00A21277">
        <w:rPr>
          <w:color w:val="212529"/>
          <w:shd w:val="clear" w:color="auto" w:fill="92D050"/>
        </w:rPr>
        <w:t xml:space="preserve"> </w:t>
      </w:r>
      <w:r w:rsidRPr="00A21277">
        <w:rPr>
          <w:color w:val="212529"/>
        </w:rPr>
        <w:t>Европске уније (ЕУ). Циљ овог документа је припрема Републике Србије, као државе кандидата за чланство у ЕУ, за учешће у процесу економског и фискалног надзора држава чланица ЕУ. Програм економских реформи Република Србија израђује на годишњем нивоу како би обезбедила одржив и инклузиван економски раст, а у складу са стратешким циљем смањења развојног јаза између домаће привреде и ЕУ.</w:t>
      </w:r>
    </w:p>
    <w:p w:rsidR="003E61DE" w:rsidRPr="00F4767A" w:rsidRDefault="00F4767A" w:rsidP="00332C9D">
      <w:pPr>
        <w:pStyle w:val="Default"/>
        <w:jc w:val="both"/>
      </w:pPr>
      <w:r>
        <w:rPr>
          <w:sz w:val="23"/>
          <w:szCs w:val="23"/>
        </w:rPr>
        <w:tab/>
      </w:r>
      <w:r w:rsidR="003E61DE" w:rsidRPr="00F4767A">
        <w:t xml:space="preserve">У наредном средњорочном периоду циљеви фискалне политике усмерени су на одржање фискалне стабилности што води даљем смањењу учешћа јавног дуга. Средњорочни фискални оквир предвиђа дефицит опште државе на нивоу од 0,5% БДП </w:t>
      </w:r>
      <w:r w:rsidR="003E61DE" w:rsidRPr="00F4767A">
        <w:lastRenderedPageBreak/>
        <w:t xml:space="preserve">до 2020. године и пад учешћа јавног дуга на око 56% БДП. Пројекције фискалних агрегата у периоду од 2018. до 2020. године заснивају се на пројекцијама макроекономских показатеља за наведени период, планираној пореској политици која подразумева даље усаглашавање са законима и директивама ЕУ и фискалним и структурним мерама, укључујући и реформе великих јавних предузећа. </w:t>
      </w:r>
    </w:p>
    <w:p w:rsidR="00F4767A" w:rsidRPr="00F4767A" w:rsidRDefault="00F4767A" w:rsidP="00332C9D">
      <w:pPr>
        <w:pStyle w:val="Default"/>
        <w:jc w:val="both"/>
      </w:pPr>
    </w:p>
    <w:p w:rsidR="003E61DE" w:rsidRDefault="003E61DE" w:rsidP="00DC057A">
      <w:pPr>
        <w:pStyle w:val="Default"/>
        <w:ind w:firstLine="720"/>
        <w:jc w:val="both"/>
      </w:pPr>
      <w:r w:rsidRPr="00F4767A">
        <w:t>Захваљујући мерама фискалне консолидације створен је фискални простор за нове политике, који ће у 2018. години бити искоришћен за повећање капиталних инвестиција, повећање пензија и плата у једном делу јавног сектора и смањење пореског оптерећења зарада. Ове мере и њихове фискалне импликације дизајниране су тако да не угрозе стабилност јавних финансија и темпо смањења јавног дуга, а са друге стране да подигну животни стандард становништва, стимулишу приватну потрошњу и убрзају привредни развој.</w:t>
      </w:r>
    </w:p>
    <w:p w:rsidR="00F5199B" w:rsidRPr="00F4767A" w:rsidRDefault="00F5199B" w:rsidP="00DC057A">
      <w:pPr>
        <w:pStyle w:val="Default"/>
        <w:ind w:firstLine="720"/>
        <w:jc w:val="both"/>
        <w:rPr>
          <w:color w:val="212529"/>
          <w:shd w:val="clear" w:color="auto" w:fill="92D050"/>
        </w:rPr>
      </w:pPr>
    </w:p>
    <w:p w:rsidR="009D36F9" w:rsidRPr="00F4767A" w:rsidRDefault="009D36F9" w:rsidP="00AD7213">
      <w:pPr>
        <w:pStyle w:val="Default"/>
        <w:jc w:val="both"/>
      </w:pPr>
      <w:r w:rsidRPr="00F4767A">
        <w:rPr>
          <w:b/>
        </w:rPr>
        <w:tab/>
        <w:t>На пољу унапређења буџетског система</w:t>
      </w:r>
      <w:r w:rsidRPr="00F4767A">
        <w:t xml:space="preserve"> у наредном периоду планирају се следеће активности: </w:t>
      </w:r>
    </w:p>
    <w:p w:rsidR="00AD7213" w:rsidRPr="00F4767A" w:rsidRDefault="00AD7213" w:rsidP="00AD7213">
      <w:pPr>
        <w:pStyle w:val="Default"/>
        <w:jc w:val="both"/>
      </w:pPr>
    </w:p>
    <w:p w:rsidR="009D36F9" w:rsidRPr="00F4767A" w:rsidRDefault="009D36F9" w:rsidP="00AD7213">
      <w:pPr>
        <w:pStyle w:val="Default"/>
        <w:jc w:val="both"/>
      </w:pPr>
      <w:r w:rsidRPr="00F4767A">
        <w:tab/>
        <w:t xml:space="preserve">1) Наставак рада на унапређењу програмског буџета. Даља унапређења су неопходна како би се у што краћем временском периоду обезбедила уједначеност и стабилност између програмских структура свих буџетских корисника, а тиме и жељени квалитет буџетског документа као целине. У том смислу, последњим изменама Закона о буџетском систему створени су услови за унапређење програмске структуре буџета кроз уређивање процеса праћења и извештавања о оствареним учинцима програма што представља надоградњу система за планирање и израду програмског буџета. Информације о оствареним учинцима програма користе се за унапређење ефективности и ефикасности јавне потрошње, као и за праћење квалитета јавних услуга. </w:t>
      </w:r>
    </w:p>
    <w:p w:rsidR="009D36F9" w:rsidRPr="00F4767A" w:rsidRDefault="00F5199B" w:rsidP="00AD7213">
      <w:pPr>
        <w:pStyle w:val="Default"/>
        <w:jc w:val="both"/>
      </w:pPr>
      <w:r>
        <w:tab/>
      </w:r>
      <w:r w:rsidR="009D36F9" w:rsidRPr="00F4767A">
        <w:t xml:space="preserve">Наиме, праћење и извештавање дају кључне повратне информације о томе да ли се активности корисника буџетских средстава спроводе у складу са постављеним циљевима и финансијским планом, као и о томе какав утицај резултат остварен у извештајном периоду има на учинке и средства планирана за наредни период. Уколико се утврде одступања, ове информације омогућавају благовремену измену програмских активности, односно пројеката или прерасподелу буџетских средства у наредном периоду у циљу остварења бољих резултата. Обавезност објављивања извештаја о учинку програма омогућава да и јавност добије увид у резултате остварене кроз буџетску потрошњу. Такође, предвиђена је обавеза за кориснике средстава обавезног социјалног осигурања да напусте „линијски модел буџетирања“ од доношења финансијских планова за 2020. годину. </w:t>
      </w:r>
    </w:p>
    <w:p w:rsidR="00F4767A" w:rsidRPr="00F4767A" w:rsidRDefault="00F4767A" w:rsidP="00AD7213">
      <w:pPr>
        <w:pStyle w:val="Default"/>
        <w:jc w:val="both"/>
      </w:pPr>
    </w:p>
    <w:p w:rsidR="009D36F9" w:rsidRPr="00F4767A" w:rsidRDefault="00AD7213" w:rsidP="00AD7213">
      <w:pPr>
        <w:pStyle w:val="Default"/>
        <w:jc w:val="both"/>
      </w:pPr>
      <w:r w:rsidRPr="00F4767A">
        <w:tab/>
      </w:r>
      <w:r w:rsidR="009D36F9" w:rsidRPr="00F4767A">
        <w:t xml:space="preserve">Такође, у наредном периоду осигураће се заокруживање поступка увођења родне равноправности у буџетске процесе, од стране свих корисника буџетских средстава на свим нивоима власти. </w:t>
      </w:r>
    </w:p>
    <w:p w:rsidR="00AD7213" w:rsidRPr="00F4767A" w:rsidRDefault="00AD7213" w:rsidP="00AD7213">
      <w:pPr>
        <w:pStyle w:val="Default"/>
        <w:jc w:val="both"/>
      </w:pPr>
    </w:p>
    <w:p w:rsidR="009D36F9" w:rsidRPr="00F4767A" w:rsidRDefault="009D36F9" w:rsidP="008C220C">
      <w:pPr>
        <w:pStyle w:val="Default"/>
        <w:jc w:val="both"/>
      </w:pPr>
      <w:r w:rsidRPr="00F4767A">
        <w:tab/>
        <w:t>2) У јуну 2017. године Влада је усвојила Уредбу о садржини, начину припреме и оцене, као и праћењу спровођења и извештавању о реализацији к</w:t>
      </w:r>
      <w:r w:rsidR="00A96185">
        <w:t xml:space="preserve">апиталних пројеката, </w:t>
      </w:r>
      <w:r w:rsidRPr="00F4767A">
        <w:rPr>
          <w:b/>
          <w:bCs/>
        </w:rPr>
        <w:t xml:space="preserve"> </w:t>
      </w:r>
    </w:p>
    <w:p w:rsidR="009D36F9" w:rsidRPr="008C220C" w:rsidRDefault="008C220C" w:rsidP="008C220C">
      <w:pPr>
        <w:pStyle w:val="Default"/>
        <w:jc w:val="both"/>
        <w:rPr>
          <w:color w:val="auto"/>
        </w:rPr>
      </w:pPr>
      <w:r>
        <w:rPr>
          <w:color w:val="auto"/>
        </w:rPr>
        <w:t xml:space="preserve">како би се </w:t>
      </w:r>
      <w:r w:rsidRPr="00F4767A">
        <w:rPr>
          <w:color w:val="auto"/>
        </w:rPr>
        <w:t>обезбедило вредновање свих позитивних и негативних ефеката тих пројеката и осигурало делотворно и ефикасно управљање јавним средствима</w:t>
      </w:r>
      <w:r>
        <w:rPr>
          <w:color w:val="auto"/>
        </w:rPr>
        <w:t>.</w:t>
      </w:r>
    </w:p>
    <w:p w:rsidR="009D36F9" w:rsidRPr="008C220C" w:rsidRDefault="009D36F9" w:rsidP="00AD7213">
      <w:pPr>
        <w:pStyle w:val="Default"/>
        <w:pageBreakBefore/>
        <w:jc w:val="both"/>
        <w:rPr>
          <w:color w:val="auto"/>
        </w:rPr>
      </w:pPr>
    </w:p>
    <w:p w:rsidR="0035475F" w:rsidRDefault="009D36F9" w:rsidP="008C220C">
      <w:pPr>
        <w:autoSpaceDE w:val="0"/>
        <w:autoSpaceDN w:val="0"/>
        <w:adjustRightInd w:val="0"/>
        <w:ind w:firstLine="720"/>
        <w:jc w:val="both"/>
      </w:pPr>
      <w:r w:rsidRPr="00F4767A">
        <w:t>Кључни чинилац у процесу повећања буџетских прихода и унапређења управљања јавним финансијама представља реформа Пореске управе (ПУ) која је у току</w:t>
      </w:r>
      <w:r w:rsidR="0035475F" w:rsidRPr="00F4767A">
        <w:t>.</w:t>
      </w:r>
    </w:p>
    <w:p w:rsidR="00854B96" w:rsidRPr="004321C3" w:rsidRDefault="004321C3" w:rsidP="004321C3">
      <w:pPr>
        <w:autoSpaceDE w:val="0"/>
        <w:autoSpaceDN w:val="0"/>
        <w:adjustRightInd w:val="0"/>
        <w:ind w:firstLine="720"/>
        <w:jc w:val="both"/>
      </w:pPr>
      <w:r w:rsidRPr="00A21277">
        <w:rPr>
          <w:b/>
          <w:color w:val="212529"/>
        </w:rPr>
        <w:t>Програм</w:t>
      </w:r>
      <w:r>
        <w:rPr>
          <w:b/>
          <w:color w:val="212529"/>
        </w:rPr>
        <w:t>ом</w:t>
      </w:r>
      <w:r w:rsidRPr="00A21277">
        <w:rPr>
          <w:b/>
          <w:color w:val="212529"/>
        </w:rPr>
        <w:t xml:space="preserve"> економских реформи за период 2018 - 2020. године</w:t>
      </w:r>
      <w:r w:rsidRPr="00A21277">
        <w:rPr>
          <w:color w:val="212529"/>
        </w:rPr>
        <w:t>,</w:t>
      </w:r>
      <w:r>
        <w:rPr>
          <w:color w:val="212529"/>
        </w:rPr>
        <w:t xml:space="preserve"> дефинисано је да ће се з</w:t>
      </w:r>
      <w:r w:rsidR="0035475F" w:rsidRPr="00F4767A">
        <w:t>абрана запошљ</w:t>
      </w:r>
      <w:r>
        <w:t>авања у јавном сектору наставити</w:t>
      </w:r>
      <w:r w:rsidR="0035475F" w:rsidRPr="00F4767A">
        <w:t xml:space="preserve"> и у 2018. години уз изузетке које разматра Комисија за давање сагласности за ново запошљавање и додатно радно ангажовање код корисника јавних средстава, узимајући у обзир максимални број запослених на неодређено време код организационих облика, средства у буџету, као и потребе за стручним кадром конкретног организационог облика.</w:t>
      </w:r>
      <w:r w:rsidR="00854B96" w:rsidRPr="00854B96">
        <w:rPr>
          <w:sz w:val="20"/>
          <w:szCs w:val="20"/>
        </w:rPr>
        <w:t xml:space="preserve"> </w:t>
      </w:r>
    </w:p>
    <w:p w:rsidR="004471EB" w:rsidRDefault="004471EB" w:rsidP="002213D4">
      <w:pPr>
        <w:autoSpaceDE w:val="0"/>
        <w:autoSpaceDN w:val="0"/>
        <w:adjustRightInd w:val="0"/>
        <w:ind w:firstLine="720"/>
        <w:jc w:val="both"/>
      </w:pPr>
    </w:p>
    <w:p w:rsidR="004471EB" w:rsidRDefault="004471EB" w:rsidP="002213D4">
      <w:pPr>
        <w:autoSpaceDE w:val="0"/>
        <w:autoSpaceDN w:val="0"/>
        <w:adjustRightInd w:val="0"/>
        <w:ind w:firstLine="720"/>
        <w:jc w:val="both"/>
        <w:rPr>
          <w:b/>
        </w:rPr>
      </w:pPr>
      <w:r>
        <w:t>Н</w:t>
      </w:r>
      <w:r w:rsidRPr="004471EB">
        <w:t>а основу члана 6. закона о начину одређивања максималног броја</w:t>
      </w:r>
      <w:r w:rsidR="00F31403">
        <w:t xml:space="preserve"> запослених у јавном сектору («Сл. гласник Републике С</w:t>
      </w:r>
      <w:r w:rsidRPr="004471EB">
        <w:t>рбије», б</w:t>
      </w:r>
      <w:r w:rsidR="00F31403">
        <w:t>р. 68/2015 и 81/2016 - одлука УС) и тачка 7. подтачка 109. О</w:t>
      </w:r>
      <w:r w:rsidRPr="004471EB">
        <w:t>длуке о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</w:t>
      </w:r>
      <w:r w:rsidR="00F31403">
        <w:t>е самоуправе за 2017. годину («Сл. гласник Републике С</w:t>
      </w:r>
      <w:r w:rsidRPr="004471EB">
        <w:t>рбије», бр. 61/2017),</w:t>
      </w:r>
      <w:r>
        <w:t xml:space="preserve"> Скупштина општине Горњи М</w:t>
      </w:r>
      <w:r w:rsidRPr="004471EB">
        <w:t>илановац, на седници одржаној 25. августа 2017.</w:t>
      </w:r>
      <w:r>
        <w:t xml:space="preserve"> </w:t>
      </w:r>
      <w:r w:rsidRPr="004471EB">
        <w:t xml:space="preserve">године, донела је </w:t>
      </w:r>
      <w:r>
        <w:rPr>
          <w:bCs/>
        </w:rPr>
        <w:t>О</w:t>
      </w:r>
      <w:r w:rsidRPr="004471EB">
        <w:rPr>
          <w:bCs/>
        </w:rPr>
        <w:t>длуку о максималном броју запослених на неодр</w:t>
      </w:r>
      <w:r>
        <w:rPr>
          <w:bCs/>
        </w:rPr>
        <w:t>еђено време у органима општине Горњи М</w:t>
      </w:r>
      <w:r w:rsidRPr="004471EB">
        <w:rPr>
          <w:bCs/>
        </w:rPr>
        <w:t>илановац, јавним предузећима и уста</w:t>
      </w:r>
      <w:r>
        <w:rPr>
          <w:bCs/>
        </w:rPr>
        <w:t>новама чији је оснивач оп</w:t>
      </w:r>
      <w:r w:rsidR="00F31403">
        <w:rPr>
          <w:bCs/>
        </w:rPr>
        <w:t>штина Горњи Милановац за 2017. г</w:t>
      </w:r>
      <w:r>
        <w:rPr>
          <w:bCs/>
        </w:rPr>
        <w:t xml:space="preserve">одину. </w:t>
      </w:r>
      <w:r w:rsidRPr="00831A43">
        <w:rPr>
          <w:rStyle w:val="Strong"/>
          <w:b w:val="0"/>
        </w:rPr>
        <w:t>Према</w:t>
      </w:r>
      <w:r w:rsidRPr="00831A43">
        <w:rPr>
          <w:rStyle w:val="Strong"/>
        </w:rPr>
        <w:t xml:space="preserve"> </w:t>
      </w:r>
      <w:r w:rsidRPr="00831A43">
        <w:rPr>
          <w:rStyle w:val="Strong"/>
          <w:b w:val="0"/>
        </w:rPr>
        <w:t>напред наведеној Одлуци,</w:t>
      </w:r>
      <w:r w:rsidRPr="00831A43">
        <w:rPr>
          <w:rStyle w:val="Strong"/>
        </w:rPr>
        <w:t xml:space="preserve"> </w:t>
      </w:r>
      <w:r w:rsidRPr="00831A43">
        <w:rPr>
          <w:rStyle w:val="Strong"/>
          <w:b w:val="0"/>
        </w:rPr>
        <w:t xml:space="preserve">за 2017. </w:t>
      </w:r>
      <w:r>
        <w:rPr>
          <w:rStyle w:val="Strong"/>
          <w:b w:val="0"/>
        </w:rPr>
        <w:t>г</w:t>
      </w:r>
      <w:r w:rsidRPr="00831A43">
        <w:rPr>
          <w:rStyle w:val="Strong"/>
          <w:b w:val="0"/>
        </w:rPr>
        <w:t>одину</w:t>
      </w:r>
      <w:r w:rsidRPr="00831A43">
        <w:t xml:space="preserve"> </w:t>
      </w:r>
      <w:r w:rsidRPr="00831A43">
        <w:rPr>
          <w:b/>
        </w:rPr>
        <w:t>максималан број запослених</w:t>
      </w:r>
      <w:r w:rsidRPr="00831A43">
        <w:t xml:space="preserve"> на неодређено време у систему локалне самоуправе </w:t>
      </w:r>
      <w:r w:rsidRPr="00831A43">
        <w:rPr>
          <w:b/>
        </w:rPr>
        <w:t>општине Горњи Милановац износи 491.</w:t>
      </w:r>
    </w:p>
    <w:p w:rsidR="00854B96" w:rsidRPr="004471EB" w:rsidRDefault="00854B96" w:rsidP="002213D4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6E109F" w:rsidRPr="002213D4" w:rsidRDefault="006E109F" w:rsidP="002213D4">
      <w:pPr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</w:rPr>
      </w:pPr>
      <w:r w:rsidRPr="00BC1D8F">
        <w:rPr>
          <w:rFonts w:eastAsia="TimesNewRomanPSMT"/>
        </w:rPr>
        <w:t>Општи циљеви реформе система плата у јавном сектору су: смањење неједнакости у</w:t>
      </w:r>
      <w:r>
        <w:rPr>
          <w:rFonts w:eastAsia="TimesNewRomanPSMT"/>
        </w:rPr>
        <w:t xml:space="preserve"> </w:t>
      </w:r>
      <w:r w:rsidRPr="00BC1D8F">
        <w:rPr>
          <w:rFonts w:eastAsia="TimesNewRomanPSMT"/>
        </w:rPr>
        <w:t>платама, односно стварање правичности кроз увођење принципа једнака плата за једнак</w:t>
      </w:r>
      <w:r>
        <w:rPr>
          <w:rFonts w:eastAsia="TimesNewRomanPSMT"/>
        </w:rPr>
        <w:t xml:space="preserve"> </w:t>
      </w:r>
      <w:r w:rsidRPr="00BC1D8F">
        <w:rPr>
          <w:rFonts w:eastAsia="TimesNewRomanPSMT"/>
        </w:rPr>
        <w:t>рад, јачање контроле буџета и</w:t>
      </w:r>
      <w:r>
        <w:rPr>
          <w:rFonts w:eastAsia="TimesNewRomanPSMT"/>
        </w:rPr>
        <w:t xml:space="preserve"> </w:t>
      </w:r>
      <w:r w:rsidRPr="00BC1D8F">
        <w:rPr>
          <w:rFonts w:eastAsia="TimesNewRomanPSMT"/>
        </w:rPr>
        <w:t>управљивост масом плата и повећање транспарентности</w:t>
      </w:r>
      <w:r>
        <w:rPr>
          <w:rFonts w:eastAsia="TimesNewRomanPSMT"/>
        </w:rPr>
        <w:t xml:space="preserve"> </w:t>
      </w:r>
      <w:r w:rsidRPr="00BC1D8F">
        <w:rPr>
          <w:rFonts w:eastAsia="TimesNewRomanPSMT"/>
        </w:rPr>
        <w:t>система. Поред тога, шири циљ реформе јавне управе у чији контекст се смешта реформа</w:t>
      </w:r>
      <w:r>
        <w:rPr>
          <w:rFonts w:eastAsia="TimesNewRomanPSMT"/>
        </w:rPr>
        <w:t xml:space="preserve"> </w:t>
      </w:r>
      <w:r w:rsidRPr="00BC1D8F">
        <w:rPr>
          <w:rFonts w:eastAsia="TimesNewRomanPSMT"/>
        </w:rPr>
        <w:t>плата јесте и јачање учинка и делотворности јавне управе</w:t>
      </w:r>
      <w:r>
        <w:rPr>
          <w:rFonts w:eastAsia="TimesNewRomanPSMT"/>
        </w:rPr>
        <w:t>.</w:t>
      </w:r>
      <w:r w:rsidRPr="00FE712E">
        <w:rPr>
          <w:rFonts w:ascii="TimesNewRomanPSMT" w:eastAsia="TimesNewRomanPSMT" w:hAnsiTheme="minorHAnsi" w:cs="TimesNewRomanPSMT" w:hint="eastAsia"/>
          <w:color w:val="000000"/>
        </w:rPr>
        <w:t xml:space="preserve"> </w:t>
      </w:r>
      <w:r w:rsidRPr="00FE712E">
        <w:rPr>
          <w:rFonts w:eastAsia="TimesNewRomanPSMT"/>
          <w:color w:val="000000"/>
        </w:rPr>
        <w:t>Подаци у Регистру запослених</w:t>
      </w:r>
      <w:r>
        <w:rPr>
          <w:rFonts w:eastAsia="TimesNewRomanPSMT"/>
          <w:color w:val="000000"/>
        </w:rPr>
        <w:t xml:space="preserve"> </w:t>
      </w:r>
      <w:r w:rsidRPr="00FE712E">
        <w:rPr>
          <w:rFonts w:eastAsia="TimesNewRomanPSMT"/>
          <w:color w:val="000000"/>
        </w:rPr>
        <w:t>ће бити допуњени називима и описом послова из каталога радних места и звања у јавном</w:t>
      </w:r>
      <w:r>
        <w:rPr>
          <w:rFonts w:eastAsia="TimesNewRomanPSMT"/>
          <w:color w:val="000000"/>
        </w:rPr>
        <w:t xml:space="preserve"> </w:t>
      </w:r>
      <w:r w:rsidRPr="00FE712E">
        <w:rPr>
          <w:rFonts w:eastAsia="TimesNewRomanPSMT"/>
          <w:color w:val="000000"/>
        </w:rPr>
        <w:t>сектору (по областима). Каталози представљају попис, класификацију и вредновање радних</w:t>
      </w:r>
      <w:r>
        <w:rPr>
          <w:rFonts w:eastAsia="TimesNewRomanPSMT"/>
          <w:color w:val="000000"/>
        </w:rPr>
        <w:t xml:space="preserve"> </w:t>
      </w:r>
      <w:r w:rsidRPr="00FE712E">
        <w:rPr>
          <w:rFonts w:eastAsia="TimesNewRomanPSMT"/>
          <w:color w:val="000000"/>
        </w:rPr>
        <w:t>места, што је један од најважнијих корака у спровођењу реформе платног система</w:t>
      </w:r>
      <w:r w:rsidRPr="00FE712E">
        <w:rPr>
          <w:rFonts w:eastAsia="TimesNewRomanPSMT"/>
          <w:color w:val="FF0000"/>
        </w:rPr>
        <w:t>.</w:t>
      </w:r>
    </w:p>
    <w:p w:rsidR="00E66DD5" w:rsidRPr="00F4767A" w:rsidRDefault="00E66DD5" w:rsidP="008C220C">
      <w:pPr>
        <w:autoSpaceDE w:val="0"/>
        <w:autoSpaceDN w:val="0"/>
        <w:adjustRightInd w:val="0"/>
        <w:ind w:firstLine="720"/>
        <w:jc w:val="both"/>
      </w:pPr>
    </w:p>
    <w:p w:rsidR="00C83FE1" w:rsidRPr="00F4767A" w:rsidRDefault="00C83FE1" w:rsidP="008C220C">
      <w:pPr>
        <w:pStyle w:val="Default"/>
        <w:ind w:firstLine="720"/>
        <w:jc w:val="both"/>
      </w:pPr>
      <w:r w:rsidRPr="00F4767A">
        <w:rPr>
          <w:b/>
          <w:bCs/>
          <w:i/>
          <w:iCs/>
        </w:rPr>
        <w:t>Средњорочна пројекција инфлације</w:t>
      </w:r>
      <w:r w:rsidRPr="00F4767A">
        <w:t>. O</w:t>
      </w:r>
      <w:r w:rsidR="003D5789" w:rsidRPr="00F4767A">
        <w:t>чекује се</w:t>
      </w:r>
      <w:r w:rsidRPr="00F4767A">
        <w:t xml:space="preserve"> да ће се, након пада почетком године, инфлација у већем делу 2018. године кретати испод 3%, али унутар граница дозвољеног одступања од циља, да би до приближавања циљу дошло у току 2019. године. Нижа инфлација у току 2018. године биће резултат изласка из међугодишњег обрачуна једнократних поскупљења с почетка 2017. године која су била вођена факторима са стране понуде, као и пада увозне инфлације у протеклом периоду, док ће у супротном смеру деловати раст агрегатне тражње.</w:t>
      </w:r>
    </w:p>
    <w:p w:rsidR="006E109F" w:rsidRDefault="006E109F" w:rsidP="008730A0">
      <w:pPr>
        <w:ind w:firstLine="720"/>
        <w:jc w:val="both"/>
        <w:rPr>
          <w:lang w:val="sr-Cyrl-CS"/>
        </w:rPr>
      </w:pPr>
    </w:p>
    <w:p w:rsidR="008205FA" w:rsidRPr="002F3F26" w:rsidRDefault="00C5330C" w:rsidP="008730A0">
      <w:pPr>
        <w:ind w:firstLine="720"/>
        <w:jc w:val="both"/>
      </w:pPr>
      <w:r w:rsidRPr="00064333">
        <w:rPr>
          <w:lang w:val="sr-Cyrl-CS"/>
        </w:rPr>
        <w:t>Имајући у виду да је законски рок да локални орган надлежан за финансије буџетским корисницима достави Упу</w:t>
      </w:r>
      <w:r w:rsidR="00127114" w:rsidRPr="00064333">
        <w:rPr>
          <w:lang w:val="sr-Cyrl-CS"/>
        </w:rPr>
        <w:t>тство за  припрему Н</w:t>
      </w:r>
      <w:r w:rsidRPr="00064333">
        <w:rPr>
          <w:lang w:val="sr-Cyrl-CS"/>
        </w:rPr>
        <w:t>ацрта буџета 1. август 201</w:t>
      </w:r>
      <w:r w:rsidR="00C93993" w:rsidRPr="00064333">
        <w:t>8</w:t>
      </w:r>
      <w:r w:rsidRPr="00064333">
        <w:rPr>
          <w:lang w:val="sr-Cyrl-CS"/>
        </w:rPr>
        <w:t xml:space="preserve">. године, </w:t>
      </w:r>
      <w:r w:rsidR="00464408" w:rsidRPr="00064333">
        <w:rPr>
          <w:lang w:val="sr-Cyrl-CS"/>
        </w:rPr>
        <w:t>приступило се његовој изради полазећ</w:t>
      </w:r>
      <w:r w:rsidR="008205FA" w:rsidRPr="00064333">
        <w:rPr>
          <w:lang w:val="sr-Cyrl-CS"/>
        </w:rPr>
        <w:t>и од Фискалне стратегије за 201</w:t>
      </w:r>
      <w:r w:rsidR="00C93993" w:rsidRPr="00064333">
        <w:t>8</w:t>
      </w:r>
      <w:r w:rsidR="008205FA" w:rsidRPr="00064333">
        <w:rPr>
          <w:lang w:val="sr-Cyrl-CS"/>
        </w:rPr>
        <w:t>. годину са пројекцијама за 201</w:t>
      </w:r>
      <w:r w:rsidR="00C93993" w:rsidRPr="00064333">
        <w:t>9</w:t>
      </w:r>
      <w:r w:rsidR="00C93993" w:rsidRPr="00064333">
        <w:rPr>
          <w:lang w:val="sr-Cyrl-CS"/>
        </w:rPr>
        <w:t>. и 2020</w:t>
      </w:r>
      <w:r w:rsidR="008205FA" w:rsidRPr="00064333">
        <w:rPr>
          <w:lang w:val="sr-Cyrl-CS"/>
        </w:rPr>
        <w:t xml:space="preserve">. </w:t>
      </w:r>
      <w:r w:rsidR="008205FA" w:rsidRPr="00064333">
        <w:t>г</w:t>
      </w:r>
      <w:r w:rsidR="008205FA" w:rsidRPr="00064333">
        <w:rPr>
          <w:lang w:val="sr-Cyrl-CS"/>
        </w:rPr>
        <w:t>одину</w:t>
      </w:r>
      <w:r w:rsidR="008205FA" w:rsidRPr="00064333">
        <w:t>.</w:t>
      </w:r>
    </w:p>
    <w:p w:rsidR="008205FA" w:rsidRPr="002F3F26" w:rsidRDefault="008205FA" w:rsidP="008730A0">
      <w:pPr>
        <w:ind w:firstLine="720"/>
        <w:jc w:val="both"/>
      </w:pPr>
    </w:p>
    <w:p w:rsidR="008850F9" w:rsidRPr="002F3F26" w:rsidRDefault="00831F7A" w:rsidP="008730A0">
      <w:pPr>
        <w:ind w:firstLine="720"/>
        <w:jc w:val="both"/>
        <w:rPr>
          <w:lang w:val="sr-Cyrl-CS"/>
        </w:rPr>
      </w:pPr>
      <w:r w:rsidRPr="002F3F26">
        <w:rPr>
          <w:lang w:val="ru-RU"/>
        </w:rPr>
        <w:t>Закон</w:t>
      </w:r>
      <w:r w:rsidRPr="002F3F26">
        <w:t>o</w:t>
      </w:r>
      <w:r w:rsidRPr="002F3F26">
        <w:rPr>
          <w:lang w:val="sr-Cyrl-CS"/>
        </w:rPr>
        <w:t xml:space="preserve">м </w:t>
      </w:r>
      <w:r>
        <w:rPr>
          <w:lang w:val="sr-Cyrl-CS"/>
        </w:rPr>
        <w:t>о буџетском систему</w:t>
      </w:r>
      <w:r w:rsidR="008850F9" w:rsidRPr="002F3F26">
        <w:rPr>
          <w:lang w:val="sr-Cyrl-CS"/>
        </w:rPr>
        <w:t xml:space="preserve"> дефинисано је да фискални дефицит локалне власти може настати само као резултат јавних инвестиција и не може бити већи од 10% њених прихода у тој години.</w:t>
      </w:r>
      <w:r w:rsidR="00AF1171" w:rsidRPr="002F3F26">
        <w:rPr>
          <w:lang w:val="sr-Cyrl-CS"/>
        </w:rPr>
        <w:t xml:space="preserve"> </w:t>
      </w:r>
      <w:r w:rsidR="008850F9" w:rsidRPr="002F3F26">
        <w:rPr>
          <w:lang w:val="sr-Cyrl-CS"/>
        </w:rPr>
        <w:t xml:space="preserve">За одобрење фискалног дефицита изнад наведеног износа, само уколико је оно резултат реализације инвестиција, </w:t>
      </w:r>
      <w:r w:rsidR="00012E8F" w:rsidRPr="002F3F26">
        <w:rPr>
          <w:lang w:val="sr-Cyrl-CS"/>
        </w:rPr>
        <w:t xml:space="preserve">извршни орган  </w:t>
      </w:r>
      <w:r w:rsidR="008850F9" w:rsidRPr="002F3F26">
        <w:rPr>
          <w:lang w:val="sr-Cyrl-CS"/>
        </w:rPr>
        <w:t xml:space="preserve">локалне власти </w:t>
      </w:r>
      <w:r w:rsidR="00012E8F" w:rsidRPr="002F3F26">
        <w:rPr>
          <w:lang w:val="sr-Cyrl-CS"/>
        </w:rPr>
        <w:lastRenderedPageBreak/>
        <w:t xml:space="preserve">може да поднесе </w:t>
      </w:r>
      <w:r w:rsidR="008850F9" w:rsidRPr="002F3F26">
        <w:rPr>
          <w:lang w:val="sr-Cyrl-CS"/>
        </w:rPr>
        <w:t>захтев Минист</w:t>
      </w:r>
      <w:r w:rsidR="004C5807" w:rsidRPr="002F3F26">
        <w:rPr>
          <w:lang w:val="sr-Cyrl-CS"/>
        </w:rPr>
        <w:t xml:space="preserve">арству финансија најкасније до </w:t>
      </w:r>
      <w:r w:rsidR="008850F9" w:rsidRPr="002F3F26">
        <w:rPr>
          <w:lang w:val="sr-Cyrl-CS"/>
        </w:rPr>
        <w:t>1. маја текуће године за наредну буџетску годину.</w:t>
      </w:r>
    </w:p>
    <w:p w:rsidR="00944D27" w:rsidRPr="002F3F26" w:rsidRDefault="00944D27" w:rsidP="008730A0">
      <w:pPr>
        <w:ind w:firstLine="720"/>
        <w:jc w:val="both"/>
        <w:rPr>
          <w:lang w:val="sr-Cyrl-CS"/>
        </w:rPr>
      </w:pPr>
    </w:p>
    <w:p w:rsidR="003C5E65" w:rsidRPr="002F3F26" w:rsidRDefault="003C5E65" w:rsidP="008730A0">
      <w:pPr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Приликом припреме предлога финансијски </w:t>
      </w:r>
      <w:r w:rsidR="00230432">
        <w:rPr>
          <w:lang w:val="sr-Cyrl-CS"/>
        </w:rPr>
        <w:t>планова треба имати у виду</w:t>
      </w:r>
      <w:r w:rsidRPr="002F3F26">
        <w:rPr>
          <w:lang w:val="sr-Cyrl-CS"/>
        </w:rPr>
        <w:t xml:space="preserve"> </w:t>
      </w:r>
      <w:r w:rsidRPr="002A063A">
        <w:rPr>
          <w:lang w:val="sr-Cyrl-CS"/>
        </w:rPr>
        <w:t>Уредбу</w:t>
      </w:r>
      <w:r w:rsidR="00230432" w:rsidRPr="002A063A">
        <w:rPr>
          <w:lang w:val="sr-Cyrl-CS"/>
        </w:rPr>
        <w:t xml:space="preserve"> Влад</w:t>
      </w:r>
      <w:r w:rsidR="00A15A62">
        <w:rPr>
          <w:lang w:val="sr-Cyrl-CS"/>
        </w:rPr>
        <w:t>е</w:t>
      </w:r>
      <w:r w:rsidR="00230432" w:rsidRPr="002A063A">
        <w:rPr>
          <w:lang w:val="sr-Cyrl-CS"/>
        </w:rPr>
        <w:t xml:space="preserve"> Републике Србије</w:t>
      </w:r>
      <w:r w:rsidRPr="002A063A">
        <w:rPr>
          <w:lang w:val="sr-Cyrl-CS"/>
        </w:rPr>
        <w:t xml:space="preserve"> о привременој обустави припадајућег дела пореза на зараде, односа преноса трансферних средстава из буџета Републике Србије локалној самоуправи </w:t>
      </w:r>
      <w:r w:rsidR="00230432" w:rsidRPr="002A063A">
        <w:rPr>
          <w:lang w:val="sr-Cyrl-CS"/>
        </w:rPr>
        <w:t xml:space="preserve">која је донета </w:t>
      </w:r>
      <w:r w:rsidRPr="002A063A">
        <w:rPr>
          <w:lang w:val="sr-Cyrl-CS"/>
        </w:rPr>
        <w:t>5. јуна 2013. године. Овом Уредбом се уређује поступак привремене обуставе припадајућег дела пореза на зараде, односа преноса трансферних средстава из буџета Републике Србије локалној самоуправи у случајевима да се зараде не исплаћују, или да се не спроводи политика запошљавања у складу са утврђеним</w:t>
      </w:r>
      <w:r w:rsidRPr="002F3F26">
        <w:rPr>
          <w:lang w:val="sr-Cyrl-CS"/>
        </w:rPr>
        <w:t xml:space="preserve"> програмима јавних предузећа, односно ако се установи да нису испоштовани рокови за измирење обавеза према привредним субјектима утврђени законом којим се уређују рокови измирења новчаних обавеза у комерцијалним трансакцијама.</w:t>
      </w:r>
    </w:p>
    <w:p w:rsidR="00523D3D" w:rsidRPr="002F3F26" w:rsidRDefault="00523D3D" w:rsidP="008730A0">
      <w:pPr>
        <w:ind w:firstLine="720"/>
        <w:jc w:val="both"/>
        <w:rPr>
          <w:lang w:val="sr-Cyrl-CS"/>
        </w:rPr>
      </w:pPr>
    </w:p>
    <w:p w:rsidR="000C1732" w:rsidRPr="0011617F" w:rsidRDefault="000C1732" w:rsidP="00863EF4">
      <w:pPr>
        <w:spacing w:after="240"/>
        <w:jc w:val="center"/>
        <w:rPr>
          <w:b/>
        </w:rPr>
      </w:pPr>
      <w:r w:rsidRPr="002F3F26">
        <w:rPr>
          <w:b/>
          <w:lang w:val="sr-Cyrl-CS"/>
        </w:rPr>
        <w:t xml:space="preserve">Пројекција основних макроекономских показатеља Републике Србије преузета из Фискалне стратегије за </w:t>
      </w:r>
      <w:r w:rsidR="000A2C9E">
        <w:rPr>
          <w:b/>
          <w:lang w:val="sr-Cyrl-CS"/>
        </w:rPr>
        <w:t>201</w:t>
      </w:r>
      <w:r w:rsidR="00863EF4">
        <w:rPr>
          <w:b/>
        </w:rPr>
        <w:t>8</w:t>
      </w:r>
      <w:r w:rsidR="000A2C9E">
        <w:rPr>
          <w:b/>
          <w:lang w:val="sr-Cyrl-CS"/>
        </w:rPr>
        <w:t>. са пројекцијама за 201</w:t>
      </w:r>
      <w:r w:rsidR="00863EF4">
        <w:rPr>
          <w:b/>
        </w:rPr>
        <w:t>9</w:t>
      </w:r>
      <w:r w:rsidR="00863EF4">
        <w:rPr>
          <w:b/>
          <w:lang w:val="sr-Cyrl-CS"/>
        </w:rPr>
        <w:t>. и 2020</w:t>
      </w:r>
      <w:r w:rsidR="0011617F">
        <w:rPr>
          <w:b/>
          <w:lang w:val="sr-Cyrl-CS"/>
        </w:rPr>
        <w:t>.г</w:t>
      </w:r>
      <w:r w:rsidR="0011617F">
        <w:rPr>
          <w:b/>
        </w:rPr>
        <w:t>oдину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1418"/>
        <w:gridCol w:w="1417"/>
      </w:tblGrid>
      <w:tr w:rsidR="00254517" w:rsidRPr="002F3F26" w:rsidTr="00643630">
        <w:trPr>
          <w:trHeight w:val="276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4517" w:rsidRPr="002F3F26" w:rsidRDefault="00623DCF" w:rsidP="00863EF4">
            <w:pPr>
              <w:jc w:val="center"/>
            </w:pPr>
            <w:r>
              <w:rPr>
                <w:lang w:val="sr-Cyrl-CS"/>
              </w:rPr>
              <w:t>Процена</w:t>
            </w:r>
            <w:r w:rsidR="00C236A2" w:rsidRPr="002F3F26">
              <w:t>.</w:t>
            </w:r>
          </w:p>
          <w:p w:rsidR="00757FB8" w:rsidRPr="002F3F26" w:rsidRDefault="00757FB8" w:rsidP="00863EF4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201</w:t>
            </w:r>
            <w:r w:rsidR="00863EF4">
              <w:t>8</w:t>
            </w:r>
            <w:r w:rsidR="008205FA" w:rsidRPr="002F3F26">
              <w:rPr>
                <w:lang w:val="sr-Cyrl-CS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</w:pPr>
            <w:r w:rsidRPr="002F3F26">
              <w:rPr>
                <w:lang w:val="sr-Cyrl-CS"/>
              </w:rPr>
              <w:t>Пројекц</w:t>
            </w:r>
            <w:r w:rsidR="00C236A2" w:rsidRPr="002F3F26">
              <w:t>.</w:t>
            </w:r>
          </w:p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201</w:t>
            </w:r>
            <w:r w:rsidR="00863EF4">
              <w:t>9</w:t>
            </w:r>
            <w:r w:rsidRPr="002F3F26">
              <w:rPr>
                <w:lang w:val="sr-Cyrl-CS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Пројекц.</w:t>
            </w:r>
          </w:p>
          <w:p w:rsidR="00254517" w:rsidRPr="002F3F26" w:rsidRDefault="00863EF4" w:rsidP="00863E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  <w:r w:rsidR="00254517" w:rsidRPr="002F3F26">
              <w:rPr>
                <w:lang w:val="sr-Cyrl-CS"/>
              </w:rPr>
              <w:t>.</w:t>
            </w:r>
          </w:p>
        </w:tc>
      </w:tr>
      <w:tr w:rsidR="00254517" w:rsidRPr="002F3F26" w:rsidTr="00643630">
        <w:trPr>
          <w:trHeight w:val="276"/>
        </w:trPr>
        <w:tc>
          <w:tcPr>
            <w:tcW w:w="4786" w:type="dxa"/>
            <w:vMerge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4517" w:rsidRPr="002F3F26" w:rsidRDefault="00254517" w:rsidP="00863EF4">
            <w:pPr>
              <w:jc w:val="center"/>
              <w:rPr>
                <w:lang w:val="sr-Cyrl-CS"/>
              </w:rPr>
            </w:pPr>
          </w:p>
        </w:tc>
      </w:tr>
      <w:tr w:rsidR="00254517" w:rsidRPr="002F3F26" w:rsidTr="00643630">
        <w:tc>
          <w:tcPr>
            <w:tcW w:w="4786" w:type="dxa"/>
            <w:shd w:val="clear" w:color="auto" w:fill="auto"/>
            <w:vAlign w:val="center"/>
          </w:tcPr>
          <w:p w:rsidR="00254517" w:rsidRPr="002F3F26" w:rsidRDefault="00254517" w:rsidP="00863EF4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БДП, годишње стопе реалног раста,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517" w:rsidRPr="002F3F26" w:rsidRDefault="00863EF4" w:rsidP="00863E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623DCF">
              <w:rPr>
                <w:lang w:val="sr-Cyrl-CS"/>
              </w:rPr>
              <w:t>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517" w:rsidRPr="002F3F26" w:rsidRDefault="00863EF4" w:rsidP="00863E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517" w:rsidRPr="002F3F26" w:rsidRDefault="00623DCF" w:rsidP="00863E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</w:t>
            </w:r>
            <w:r w:rsidR="00863EF4">
              <w:rPr>
                <w:lang w:val="sr-Cyrl-CS"/>
              </w:rPr>
              <w:t>0</w:t>
            </w:r>
          </w:p>
        </w:tc>
      </w:tr>
      <w:tr w:rsidR="00254517" w:rsidRPr="002F3F26" w:rsidTr="00643630">
        <w:tc>
          <w:tcPr>
            <w:tcW w:w="4786" w:type="dxa"/>
            <w:shd w:val="clear" w:color="auto" w:fill="auto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Реални раст појединих компоненти БДП,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4517" w:rsidRPr="002F3F26" w:rsidRDefault="00254517" w:rsidP="008730A0">
            <w:pPr>
              <w:jc w:val="center"/>
              <w:rPr>
                <w:lang w:val="sr-Cyrl-CS"/>
              </w:rPr>
            </w:pPr>
          </w:p>
        </w:tc>
      </w:tr>
      <w:tr w:rsidR="00254517" w:rsidRPr="002F3F26" w:rsidTr="00643630">
        <w:tc>
          <w:tcPr>
            <w:tcW w:w="4786" w:type="dxa"/>
            <w:shd w:val="clear" w:color="auto" w:fill="auto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    Лична потрошња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517" w:rsidRPr="002F3F26" w:rsidRDefault="00863EF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3,8</w:t>
            </w:r>
          </w:p>
        </w:tc>
      </w:tr>
      <w:tr w:rsidR="00254517" w:rsidRPr="002F3F26" w:rsidTr="00643630">
        <w:tc>
          <w:tcPr>
            <w:tcW w:w="4786" w:type="dxa"/>
            <w:shd w:val="clear" w:color="auto" w:fill="auto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    Државна потрошња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517" w:rsidRPr="002F3F26" w:rsidRDefault="00863EF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517" w:rsidRPr="002F3F26" w:rsidRDefault="00863EF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2,7</w:t>
            </w:r>
          </w:p>
        </w:tc>
      </w:tr>
      <w:tr w:rsidR="00254517" w:rsidRPr="002F3F26" w:rsidTr="00643630">
        <w:tc>
          <w:tcPr>
            <w:tcW w:w="4786" w:type="dxa"/>
            <w:shd w:val="clear" w:color="auto" w:fill="auto"/>
            <w:vAlign w:val="center"/>
          </w:tcPr>
          <w:p w:rsidR="00254517" w:rsidRPr="002F3F26" w:rsidRDefault="00254517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 xml:space="preserve">    Инвестиције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517" w:rsidRPr="002F3F26" w:rsidRDefault="00863EF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5,3</w:t>
            </w:r>
          </w:p>
        </w:tc>
      </w:tr>
      <w:tr w:rsidR="00254517" w:rsidRPr="002F3F26" w:rsidTr="00643630">
        <w:tc>
          <w:tcPr>
            <w:tcW w:w="4786" w:type="dxa"/>
            <w:shd w:val="clear" w:color="auto" w:fill="auto"/>
            <w:vAlign w:val="center"/>
          </w:tcPr>
          <w:p w:rsidR="00254517" w:rsidRPr="002F3F26" w:rsidRDefault="00D61A06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Инфлација, просек</w:t>
            </w:r>
            <w:r w:rsidR="00254517" w:rsidRPr="002F3F26">
              <w:rPr>
                <w:lang w:val="sr-Cyrl-CS"/>
              </w:rPr>
              <w:t xml:space="preserve"> периода, у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517" w:rsidRPr="002F3F26" w:rsidRDefault="00863EF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517" w:rsidRPr="00863EF4" w:rsidRDefault="00863EF4" w:rsidP="008730A0">
            <w:pPr>
              <w:jc w:val="center"/>
            </w:pPr>
            <w:r>
              <w:t>3,0</w:t>
            </w:r>
          </w:p>
        </w:tc>
      </w:tr>
    </w:tbl>
    <w:p w:rsidR="0026688E" w:rsidRPr="002F3F26" w:rsidRDefault="0026688E" w:rsidP="008730A0">
      <w:pPr>
        <w:jc w:val="center"/>
        <w:rPr>
          <w:b/>
          <w:lang w:val="sr-Cyrl-CS"/>
        </w:rPr>
      </w:pPr>
    </w:p>
    <w:p w:rsidR="0026688E" w:rsidRPr="002F3F26" w:rsidRDefault="0026688E" w:rsidP="008730A0">
      <w:pPr>
        <w:jc w:val="center"/>
        <w:rPr>
          <w:b/>
          <w:lang w:val="sr-Cyrl-CS"/>
        </w:rPr>
      </w:pPr>
    </w:p>
    <w:p w:rsidR="0026688E" w:rsidRPr="002F3F26" w:rsidRDefault="0026688E" w:rsidP="008730A0">
      <w:pPr>
        <w:jc w:val="center"/>
        <w:rPr>
          <w:b/>
          <w:lang w:val="sr-Cyrl-CS"/>
        </w:rPr>
      </w:pPr>
    </w:p>
    <w:p w:rsidR="00FF2232" w:rsidRPr="002F3F26" w:rsidRDefault="00A25B78" w:rsidP="008730A0">
      <w:pPr>
        <w:jc w:val="center"/>
        <w:rPr>
          <w:b/>
        </w:rPr>
      </w:pPr>
      <w:r w:rsidRPr="002F3F26">
        <w:rPr>
          <w:b/>
          <w:lang w:val="sr-Cyrl-CS"/>
        </w:rPr>
        <w:t>СМЕРНИЦЕ ЗА ПРИПРЕМУ БУЏЕТА</w:t>
      </w:r>
    </w:p>
    <w:p w:rsidR="00FF2232" w:rsidRPr="002F3F26" w:rsidRDefault="00A25B78" w:rsidP="008730A0">
      <w:pPr>
        <w:jc w:val="center"/>
        <w:rPr>
          <w:b/>
        </w:rPr>
      </w:pPr>
      <w:r w:rsidRPr="002F3F26">
        <w:rPr>
          <w:b/>
          <w:lang w:val="sr-Cyrl-CS"/>
        </w:rPr>
        <w:t>ОПШТИНЕ ГОРЊИ М</w:t>
      </w:r>
      <w:r>
        <w:rPr>
          <w:b/>
          <w:lang w:val="sr-Cyrl-CS"/>
        </w:rPr>
        <w:t>ИЛАНОВАЦ ЗА 201</w:t>
      </w:r>
      <w:r w:rsidR="009D7849">
        <w:rPr>
          <w:b/>
        </w:rPr>
        <w:t>9</w:t>
      </w:r>
      <w:r w:rsidRPr="002F3F26">
        <w:rPr>
          <w:b/>
          <w:lang w:val="sr-Cyrl-CS"/>
        </w:rPr>
        <w:t>. ГОДИНУ</w:t>
      </w:r>
    </w:p>
    <w:p w:rsidR="00F253F0" w:rsidRPr="002F3F26" w:rsidRDefault="00F253F0" w:rsidP="008730A0">
      <w:pPr>
        <w:jc w:val="center"/>
        <w:rPr>
          <w:b/>
        </w:rPr>
      </w:pPr>
    </w:p>
    <w:p w:rsidR="00FF2232" w:rsidRPr="003051F7" w:rsidRDefault="00FF2232" w:rsidP="008730A0">
      <w:pPr>
        <w:ind w:firstLine="720"/>
        <w:jc w:val="both"/>
      </w:pPr>
      <w:r w:rsidRPr="002F3F26">
        <w:rPr>
          <w:lang w:val="sr-Cyrl-CS"/>
        </w:rPr>
        <w:t>Сагледавајући</w:t>
      </w:r>
      <w:r w:rsidR="000F491C" w:rsidRPr="002F3F26">
        <w:rPr>
          <w:lang w:val="sr-Cyrl-CS"/>
        </w:rPr>
        <w:t xml:space="preserve"> привредна кретања </w:t>
      </w:r>
      <w:r w:rsidR="00B511C2">
        <w:rPr>
          <w:lang w:val="sr-Cyrl-CS"/>
        </w:rPr>
        <w:t>у 201</w:t>
      </w:r>
      <w:r w:rsidR="0092758D">
        <w:t>8</w:t>
      </w:r>
      <w:r w:rsidR="005078F0" w:rsidRPr="002F3F26">
        <w:rPr>
          <w:lang w:val="sr-Cyrl-CS"/>
        </w:rPr>
        <w:t xml:space="preserve">. години, </w:t>
      </w:r>
      <w:r w:rsidR="00442145" w:rsidRPr="002F3F26">
        <w:rPr>
          <w:lang w:val="sr-Cyrl-CS"/>
        </w:rPr>
        <w:t xml:space="preserve">полазећи од тога да </w:t>
      </w:r>
      <w:r w:rsidR="003051F7">
        <w:t xml:space="preserve">je </w:t>
      </w:r>
      <w:r w:rsidR="003051F7">
        <w:rPr>
          <w:lang w:val="sr-Cyrl-CS"/>
        </w:rPr>
        <w:t>Фискалн</w:t>
      </w:r>
      <w:r w:rsidR="003051F7">
        <w:t>oм</w:t>
      </w:r>
      <w:r w:rsidR="003051F7">
        <w:rPr>
          <w:lang w:val="sr-Cyrl-CS"/>
        </w:rPr>
        <w:t xml:space="preserve"> стратегиј</w:t>
      </w:r>
      <w:r w:rsidR="003051F7">
        <w:t>oм</w:t>
      </w:r>
      <w:r w:rsidR="003051F7" w:rsidRPr="002F3F26">
        <w:rPr>
          <w:lang w:val="sr-Cyrl-CS"/>
        </w:rPr>
        <w:t xml:space="preserve"> за 201</w:t>
      </w:r>
      <w:r w:rsidR="0092758D">
        <w:t>8</w:t>
      </w:r>
      <w:r w:rsidR="003051F7" w:rsidRPr="002F3F26">
        <w:rPr>
          <w:lang w:val="sr-Cyrl-CS"/>
        </w:rPr>
        <w:t>. годину са пројекцијама за 201</w:t>
      </w:r>
      <w:r w:rsidR="0092758D">
        <w:t>9</w:t>
      </w:r>
      <w:r w:rsidR="003051F7" w:rsidRPr="002F3F26">
        <w:rPr>
          <w:lang w:val="sr-Cyrl-CS"/>
        </w:rPr>
        <w:t>. и 201</w:t>
      </w:r>
      <w:r w:rsidR="0092758D">
        <w:t>20</w:t>
      </w:r>
      <w:r w:rsidR="003051F7" w:rsidRPr="002F3F26">
        <w:rPr>
          <w:lang w:val="sr-Cyrl-CS"/>
        </w:rPr>
        <w:t xml:space="preserve">. </w:t>
      </w:r>
      <w:r w:rsidR="00871E46">
        <w:t>г</w:t>
      </w:r>
      <w:r w:rsidR="003051F7" w:rsidRPr="002F3F26">
        <w:rPr>
          <w:lang w:val="sr-Cyrl-CS"/>
        </w:rPr>
        <w:t>одину</w:t>
      </w:r>
      <w:r w:rsidR="003051F7">
        <w:t xml:space="preserve"> предвиђено да ће у 201</w:t>
      </w:r>
      <w:r w:rsidR="00F4019A">
        <w:t>9</w:t>
      </w:r>
      <w:r w:rsidR="003051F7">
        <w:t xml:space="preserve">. години стопа </w:t>
      </w:r>
      <w:r w:rsidR="003051F7">
        <w:rPr>
          <w:lang w:val="sr-Cyrl-CS"/>
        </w:rPr>
        <w:t>реалног</w:t>
      </w:r>
      <w:r w:rsidR="000F491C" w:rsidRPr="002F3F26">
        <w:rPr>
          <w:lang w:val="sr-Cyrl-CS"/>
        </w:rPr>
        <w:t xml:space="preserve"> раст</w:t>
      </w:r>
      <w:r w:rsidR="00F532F9" w:rsidRPr="002F3F26">
        <w:rPr>
          <w:lang w:val="sr-Cyrl-CS"/>
        </w:rPr>
        <w:t>а</w:t>
      </w:r>
      <w:r w:rsidR="000F491C" w:rsidRPr="002F3F26">
        <w:rPr>
          <w:lang w:val="sr-Cyrl-CS"/>
        </w:rPr>
        <w:t xml:space="preserve"> БДП</w:t>
      </w:r>
      <w:r w:rsidR="00F532F9" w:rsidRPr="002F3F26">
        <w:rPr>
          <w:lang w:val="sr-Cyrl-CS"/>
        </w:rPr>
        <w:t>-а</w:t>
      </w:r>
      <w:r w:rsidR="00E859CC">
        <w:rPr>
          <w:lang w:val="sr-Cyrl-CS"/>
        </w:rPr>
        <w:t xml:space="preserve"> износити </w:t>
      </w:r>
      <w:r w:rsidR="00855B61">
        <w:t>2,8</w:t>
      </w:r>
      <w:r w:rsidR="00E859CC">
        <w:rPr>
          <w:lang w:val="sr-Cyrl-CS"/>
        </w:rPr>
        <w:t>%</w:t>
      </w:r>
      <w:r w:rsidR="00F532F9" w:rsidRPr="002F3F26">
        <w:rPr>
          <w:lang w:val="sr-Cyrl-CS"/>
        </w:rPr>
        <w:t>,</w:t>
      </w:r>
      <w:r w:rsidR="000F491C" w:rsidRPr="002F3F26">
        <w:rPr>
          <w:lang w:val="sr-Cyrl-CS"/>
        </w:rPr>
        <w:t xml:space="preserve"> </w:t>
      </w:r>
      <w:r w:rsidR="005078F0" w:rsidRPr="002F3F26">
        <w:rPr>
          <w:lang w:val="sr-Cyrl-CS"/>
        </w:rPr>
        <w:t xml:space="preserve">као и раст потрошачких цена од </w:t>
      </w:r>
      <w:r w:rsidR="00855B61">
        <w:t>2,8</w:t>
      </w:r>
      <w:r w:rsidR="005078F0" w:rsidRPr="002F3F26">
        <w:rPr>
          <w:lang w:val="sr-Cyrl-CS"/>
        </w:rPr>
        <w:t>%</w:t>
      </w:r>
      <w:r w:rsidR="004C5807" w:rsidRPr="002F3F26">
        <w:rPr>
          <w:lang w:val="sr-Cyrl-CS"/>
        </w:rPr>
        <w:t>,</w:t>
      </w:r>
      <w:r w:rsidR="00CB1F4F" w:rsidRPr="002F3F26">
        <w:rPr>
          <w:lang w:val="sr-Cyrl-CS"/>
        </w:rPr>
        <w:t xml:space="preserve"> ниво упослености у привреди и јавном сектору,</w:t>
      </w:r>
      <w:r w:rsidRPr="002F3F26">
        <w:rPr>
          <w:lang w:val="sr-Cyrl-CS"/>
        </w:rPr>
        <w:t xml:space="preserve"> а сагласно одредбама члана 40. Закона о буџетском </w:t>
      </w:r>
      <w:r w:rsidR="006D0F12" w:rsidRPr="002F3F26">
        <w:rPr>
          <w:lang w:val="sr-Cyrl-CS"/>
        </w:rPr>
        <w:t>систему</w:t>
      </w:r>
      <w:r w:rsidRPr="002F3F26">
        <w:rPr>
          <w:lang w:val="sr-Cyrl-CS"/>
        </w:rPr>
        <w:t>, буџетски корисници општине Горњи Милановац су у обавези да се при изради предлога финансијског плана за 20</w:t>
      </w:r>
      <w:r w:rsidR="00CB1F4F" w:rsidRPr="002F3F26">
        <w:rPr>
          <w:lang w:val="sr-Cyrl-CS"/>
        </w:rPr>
        <w:t>1</w:t>
      </w:r>
      <w:r w:rsidR="00855B61">
        <w:t>9</w:t>
      </w:r>
      <w:r w:rsidRPr="002F3F26">
        <w:rPr>
          <w:lang w:val="sr-Cyrl-CS"/>
        </w:rPr>
        <w:t>. годину придржавају  следећег:</w:t>
      </w:r>
    </w:p>
    <w:p w:rsidR="00FF2232" w:rsidRPr="002F3F26" w:rsidRDefault="00FF2232" w:rsidP="008730A0">
      <w:pPr>
        <w:ind w:firstLine="720"/>
        <w:jc w:val="both"/>
        <w:rPr>
          <w:lang w:val="sr-Cyrl-CS"/>
        </w:rPr>
      </w:pPr>
    </w:p>
    <w:p w:rsidR="00FF2232" w:rsidRPr="002F3F26" w:rsidRDefault="00FF2232" w:rsidP="008730A0">
      <w:pPr>
        <w:spacing w:after="120"/>
        <w:jc w:val="both"/>
        <w:rPr>
          <w:lang w:val="sr-Cyrl-CS"/>
        </w:rPr>
      </w:pPr>
      <w:r w:rsidRPr="002F3F26">
        <w:rPr>
          <w:lang w:val="sr-Cyrl-CS"/>
        </w:rPr>
        <w:t xml:space="preserve">  </w:t>
      </w:r>
      <w:r w:rsidRPr="002F3F26">
        <w:rPr>
          <w:lang w:val="sr-Cyrl-CS"/>
        </w:rPr>
        <w:tab/>
        <w:t>1.  Основ политике планирања прихода и расхода</w:t>
      </w:r>
      <w:r w:rsidR="00690BB7">
        <w:t xml:space="preserve"> за 2019</w:t>
      </w:r>
      <w:r w:rsidR="00E85B61">
        <w:t>. годину</w:t>
      </w:r>
      <w:r w:rsidR="00E85B61" w:rsidRPr="002F3F26">
        <w:rPr>
          <w:lang w:val="sr-Cyrl-CS"/>
        </w:rPr>
        <w:t xml:space="preserve"> </w:t>
      </w:r>
      <w:r w:rsidRPr="002F3F26">
        <w:rPr>
          <w:lang w:val="sr-Cyrl-CS"/>
        </w:rPr>
        <w:t xml:space="preserve">мора бити у складу са реалним пројекцијама буџета општине </w:t>
      </w:r>
      <w:r w:rsidR="005078F0" w:rsidRPr="002F3F26">
        <w:rPr>
          <w:lang w:val="sr-Cyrl-CS"/>
        </w:rPr>
        <w:t xml:space="preserve">за </w:t>
      </w:r>
      <w:r w:rsidRPr="002F3F26">
        <w:rPr>
          <w:lang w:val="sr-Cyrl-CS"/>
        </w:rPr>
        <w:t>20</w:t>
      </w:r>
      <w:r w:rsidR="00216111">
        <w:rPr>
          <w:lang w:val="sr-Cyrl-CS"/>
        </w:rPr>
        <w:t>1</w:t>
      </w:r>
      <w:r w:rsidR="00690BB7">
        <w:t>8</w:t>
      </w:r>
      <w:r w:rsidRPr="002F3F26">
        <w:rPr>
          <w:lang w:val="sr-Cyrl-CS"/>
        </w:rPr>
        <w:t>. годину.</w:t>
      </w:r>
    </w:p>
    <w:p w:rsidR="00FF2232" w:rsidRPr="002F3F26" w:rsidRDefault="00FF2232" w:rsidP="008730A0">
      <w:pPr>
        <w:spacing w:after="120"/>
        <w:jc w:val="both"/>
        <w:rPr>
          <w:lang w:val="sr-Cyrl-CS"/>
        </w:rPr>
      </w:pPr>
      <w:r w:rsidRPr="002F3F26">
        <w:rPr>
          <w:lang w:val="sr-Cyrl-CS"/>
        </w:rPr>
        <w:t xml:space="preserve"> </w:t>
      </w:r>
      <w:r w:rsidRPr="002F3F26">
        <w:rPr>
          <w:lang w:val="sr-Cyrl-CS"/>
        </w:rPr>
        <w:tab/>
        <w:t>2. При изради предлога финансијских планова за 20</w:t>
      </w:r>
      <w:r w:rsidR="00CB1F4F" w:rsidRPr="002F3F26">
        <w:rPr>
          <w:lang w:val="sr-Cyrl-CS"/>
        </w:rPr>
        <w:t>1</w:t>
      </w:r>
      <w:r w:rsidR="00690BB7">
        <w:t>9</w:t>
      </w:r>
      <w:r w:rsidRPr="002F3F26">
        <w:rPr>
          <w:lang w:val="sr-Cyrl-CS"/>
        </w:rPr>
        <w:t>. годину, корисници буџета треба да планирају расходе и издатке до нивоа утврђених овим Упу</w:t>
      </w:r>
      <w:r w:rsidR="00A15A62">
        <w:rPr>
          <w:lang w:val="sr-Cyrl-CS"/>
        </w:rPr>
        <w:t xml:space="preserve">тством, водећи рачуна при томе </w:t>
      </w:r>
      <w:r w:rsidRPr="002F3F26">
        <w:rPr>
          <w:lang w:val="sr-Cyrl-CS"/>
        </w:rPr>
        <w:t xml:space="preserve">уговореним обавезама и </w:t>
      </w:r>
      <w:r w:rsidR="00A15A62" w:rsidRPr="002F3F26">
        <w:rPr>
          <w:lang w:val="sr-Cyrl-CS"/>
        </w:rPr>
        <w:t>донетим  одлукама</w:t>
      </w:r>
      <w:r w:rsidRPr="002F3F26">
        <w:rPr>
          <w:lang w:val="sr-Cyrl-CS"/>
        </w:rPr>
        <w:t xml:space="preserve"> од стране Скупштине општине, односно надлежног органа општине Горњи Милановац.</w:t>
      </w:r>
    </w:p>
    <w:p w:rsidR="00221D41" w:rsidRDefault="00FF2232" w:rsidP="008730A0">
      <w:pPr>
        <w:ind w:firstLine="360"/>
        <w:jc w:val="both"/>
      </w:pPr>
      <w:r w:rsidRPr="002F3F26">
        <w:rPr>
          <w:lang w:val="sr-Cyrl-CS"/>
        </w:rPr>
        <w:t xml:space="preserve"> </w:t>
      </w:r>
      <w:r w:rsidRPr="002F3F26">
        <w:rPr>
          <w:lang w:val="sr-Cyrl-CS"/>
        </w:rPr>
        <w:tab/>
        <w:t>3. Ради сагледавања могућности буџета општине Горњи Милановац за 20</w:t>
      </w:r>
      <w:r w:rsidR="00CB1F4F" w:rsidRPr="002F3F26">
        <w:rPr>
          <w:lang w:val="sr-Cyrl-CS"/>
        </w:rPr>
        <w:t>1</w:t>
      </w:r>
      <w:r w:rsidR="00221EC9">
        <w:t>9</w:t>
      </w:r>
      <w:r w:rsidRPr="002F3F26">
        <w:rPr>
          <w:lang w:val="sr-Cyrl-CS"/>
        </w:rPr>
        <w:t>. годину и наредне две године, даје се следећа пројекција прихода и примања</w:t>
      </w:r>
      <w:r w:rsidR="00CF6FB0">
        <w:t>:</w:t>
      </w:r>
    </w:p>
    <w:p w:rsidR="00CF6FB0" w:rsidRPr="00CF6FB0" w:rsidRDefault="00CF6FB0" w:rsidP="008730A0">
      <w:pPr>
        <w:ind w:firstLine="360"/>
        <w:jc w:val="both"/>
      </w:pPr>
    </w:p>
    <w:tbl>
      <w:tblPr>
        <w:tblpPr w:leftFromText="180" w:rightFromText="180" w:vertAnchor="text" w:horzAnchor="margin" w:tblpX="-351" w:tblpY="1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07"/>
        <w:gridCol w:w="1596"/>
        <w:gridCol w:w="1596"/>
        <w:gridCol w:w="1694"/>
        <w:gridCol w:w="1596"/>
      </w:tblGrid>
      <w:tr w:rsidR="0092706B" w:rsidRPr="002F3F26" w:rsidTr="003C7BF6">
        <w:trPr>
          <w:trHeight w:val="23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  <w:lang w:val="sr-Cyrl-CS"/>
              </w:rPr>
            </w:pPr>
            <w:r w:rsidRPr="008C186D">
              <w:rPr>
                <w:b/>
                <w:lang w:val="sr-Cyrl-CS"/>
              </w:rPr>
              <w:lastRenderedPageBreak/>
              <w:t>Екон.</w:t>
            </w:r>
          </w:p>
          <w:p w:rsidR="0092706B" w:rsidRPr="008C186D" w:rsidRDefault="00707DFA" w:rsidP="006314E0">
            <w:pPr>
              <w:jc w:val="center"/>
              <w:rPr>
                <w:b/>
                <w:lang w:val="sr-Cyrl-CS"/>
              </w:rPr>
            </w:pPr>
            <w:r w:rsidRPr="008C186D">
              <w:rPr>
                <w:b/>
                <w:lang w:val="sr-Cyrl-CS"/>
              </w:rPr>
              <w:t>к</w:t>
            </w:r>
            <w:r w:rsidR="0092706B" w:rsidRPr="008C186D">
              <w:rPr>
                <w:b/>
                <w:lang w:val="sr-Cyrl-CS"/>
              </w:rPr>
              <w:t>лас.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  <w:lang w:val="sr-Cyrl-CS"/>
              </w:rPr>
            </w:pPr>
            <w:r w:rsidRPr="008C186D">
              <w:rPr>
                <w:b/>
                <w:lang w:val="sr-Cyrl-CS"/>
              </w:rPr>
              <w:t>Опис прихода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</w:rPr>
            </w:pPr>
            <w:r w:rsidRPr="008C186D">
              <w:rPr>
                <w:b/>
              </w:rPr>
              <w:t>Процена</w:t>
            </w:r>
            <w:r w:rsidR="001E418B" w:rsidRPr="008C186D">
              <w:rPr>
                <w:b/>
              </w:rPr>
              <w:t xml:space="preserve"> остварења</w:t>
            </w:r>
            <w:r w:rsidR="00AF0820" w:rsidRPr="008C186D">
              <w:rPr>
                <w:b/>
              </w:rPr>
              <w:t xml:space="preserve"> у</w:t>
            </w:r>
          </w:p>
        </w:tc>
        <w:tc>
          <w:tcPr>
            <w:tcW w:w="4886" w:type="dxa"/>
            <w:gridSpan w:val="3"/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</w:rPr>
            </w:pPr>
            <w:r w:rsidRPr="008C186D">
              <w:rPr>
                <w:b/>
              </w:rPr>
              <w:t>Пројекција</w:t>
            </w:r>
          </w:p>
        </w:tc>
      </w:tr>
      <w:tr w:rsidR="00F368EE" w:rsidRPr="002F3F26" w:rsidTr="003C7BF6">
        <w:trPr>
          <w:trHeight w:val="231"/>
        </w:trPr>
        <w:tc>
          <w:tcPr>
            <w:tcW w:w="959" w:type="dxa"/>
            <w:vMerge/>
            <w:shd w:val="clear" w:color="auto" w:fill="auto"/>
            <w:vAlign w:val="center"/>
          </w:tcPr>
          <w:p w:rsidR="0092706B" w:rsidRPr="002F3F26" w:rsidRDefault="0092706B" w:rsidP="006314E0">
            <w:pPr>
              <w:jc w:val="center"/>
              <w:rPr>
                <w:lang w:val="sr-Cyrl-CS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:rsidR="0092706B" w:rsidRPr="002F3F26" w:rsidRDefault="0092706B" w:rsidP="006314E0">
            <w:pPr>
              <w:jc w:val="center"/>
              <w:rPr>
                <w:lang w:val="sr-Cyrl-CS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</w:rPr>
            </w:pPr>
            <w:r w:rsidRPr="008C186D">
              <w:rPr>
                <w:b/>
              </w:rPr>
              <w:t>201</w:t>
            </w:r>
            <w:r w:rsidR="00C8579E" w:rsidRPr="008C186D">
              <w:rPr>
                <w:b/>
              </w:rPr>
              <w:t>8</w:t>
            </w:r>
            <w:r w:rsidR="00AF0820" w:rsidRPr="008C186D">
              <w:rPr>
                <w:b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</w:rPr>
            </w:pPr>
            <w:r w:rsidRPr="008C186D">
              <w:rPr>
                <w:b/>
                <w:lang w:val="sr-Cyrl-CS"/>
              </w:rPr>
              <w:t>201</w:t>
            </w:r>
            <w:r w:rsidR="00C8579E" w:rsidRPr="008C186D">
              <w:rPr>
                <w:b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</w:rPr>
            </w:pPr>
            <w:r w:rsidRPr="008C186D">
              <w:rPr>
                <w:b/>
                <w:lang w:val="sr-Cyrl-CS"/>
              </w:rPr>
              <w:t>20</w:t>
            </w:r>
            <w:r w:rsidR="00C8579E" w:rsidRPr="008C186D">
              <w:rPr>
                <w:b/>
                <w:lang w:val="sr-Cyrl-CS"/>
              </w:rPr>
              <w:t>20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8C186D" w:rsidRDefault="0092706B" w:rsidP="006314E0">
            <w:pPr>
              <w:jc w:val="center"/>
              <w:rPr>
                <w:b/>
              </w:rPr>
            </w:pPr>
            <w:r w:rsidRPr="008C186D">
              <w:rPr>
                <w:b/>
                <w:lang w:val="sr-Cyrl-CS"/>
              </w:rPr>
              <w:t>20</w:t>
            </w:r>
            <w:r w:rsidR="00034C96" w:rsidRPr="008C186D">
              <w:rPr>
                <w:b/>
              </w:rPr>
              <w:t>2</w:t>
            </w:r>
            <w:r w:rsidR="00C8579E" w:rsidRPr="008C186D">
              <w:rPr>
                <w:b/>
              </w:rPr>
              <w:t>1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>Поре</w:t>
            </w:r>
            <w:r>
              <w:rPr>
                <w:bCs/>
                <w:lang w:val="ru-RU"/>
              </w:rPr>
              <w:t xml:space="preserve">з на доходак, добит и капит. </w:t>
            </w:r>
            <w:r w:rsidRPr="002F3F26">
              <w:rPr>
                <w:bCs/>
                <w:lang w:val="ru-RU"/>
              </w:rPr>
              <w:t>добитке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F308C4" w:rsidP="006314E0">
            <w:pPr>
              <w:jc w:val="right"/>
            </w:pPr>
            <w:r>
              <w:t>65</w:t>
            </w:r>
            <w:r w:rsidR="00D65FB2">
              <w:t>1.838.000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F233B1" w:rsidP="006314E0">
            <w:pPr>
              <w:jc w:val="right"/>
            </w:pPr>
            <w:r>
              <w:t>666.380</w:t>
            </w:r>
            <w:r w:rsidR="00D65FB2">
              <w:t>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680.000.000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680.000.000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713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</w:rPr>
              <w:t>Порез на имовину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826D99" w:rsidP="006314E0">
            <w:pPr>
              <w:jc w:val="right"/>
            </w:pPr>
            <w:r>
              <w:t>20</w:t>
            </w:r>
            <w:r w:rsidR="00D65FB2">
              <w:t>3.000.000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205.000.000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215.000.000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215.000.000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>Порез на добра и услуге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42.100.000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42.000.000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42.000.000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42.000.000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716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lang w:val="ru-RU"/>
              </w:rPr>
              <w:t>Други порези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25.000.000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25.000.000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25.000.000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25.000.000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730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</w:rPr>
              <w:t>Донације и трансфери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368EE" w:rsidRDefault="00D65FB2" w:rsidP="006314E0">
            <w:pPr>
              <w:jc w:val="right"/>
            </w:pPr>
            <w:r>
              <w:t>249.472.000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240.000.000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240.000.000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250.000.000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741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</w:rPr>
              <w:t>Приходи од имовине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87.000.000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F233B1" w:rsidP="006314E0">
            <w:pPr>
              <w:jc w:val="right"/>
            </w:pPr>
            <w:r>
              <w:t>85</w:t>
            </w:r>
            <w:r w:rsidR="00D65FB2">
              <w:t>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85.000.000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90.000.000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742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>Приходи од продаје добара и услуга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F3498A" w:rsidP="006314E0">
            <w:pPr>
              <w:jc w:val="right"/>
            </w:pPr>
            <w:r>
              <w:t>6</w:t>
            </w:r>
            <w:r w:rsidR="00D65FB2">
              <w:t>3.800.000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68.500.000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68.500.000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68.500.000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743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 xml:space="preserve">Новчане казне и одузета </w:t>
            </w:r>
            <w:r>
              <w:rPr>
                <w:bCs/>
                <w:lang w:val="ru-RU"/>
              </w:rPr>
              <w:t>имовин</w:t>
            </w:r>
            <w:r w:rsidRPr="002F3F26">
              <w:rPr>
                <w:bCs/>
                <w:lang w:val="ru-RU"/>
              </w:rPr>
              <w:t xml:space="preserve"> корист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E414D5" w:rsidP="006314E0">
            <w:pPr>
              <w:jc w:val="right"/>
            </w:pPr>
            <w:r>
              <w:t>14</w:t>
            </w:r>
            <w:r w:rsidR="00D65FB2">
              <w:t>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16.000.000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16.000.000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16.000.000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744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>Доброво</w:t>
            </w:r>
            <w:r w:rsidRPr="002F3F26">
              <w:rPr>
                <w:bCs/>
                <w:lang w:val="sr-Cyrl-CS"/>
              </w:rPr>
              <w:t>љ</w:t>
            </w:r>
            <w:r>
              <w:rPr>
                <w:bCs/>
                <w:lang w:val="ru-RU"/>
              </w:rPr>
              <w:t>ни трансфер од физ.</w:t>
            </w:r>
            <w:r w:rsidRPr="002F3F26">
              <w:rPr>
                <w:bCs/>
                <w:lang w:val="ru-RU"/>
              </w:rPr>
              <w:t xml:space="preserve"> и правних лица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13.900.000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14.000.000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14.000.000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</w:t>
            </w:r>
            <w:r w:rsidR="007E50E9">
              <w:t>9</w:t>
            </w:r>
            <w:r>
              <w:t>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745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t>Мешовити и неодређени приходи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11.000.000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11.000.000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11.000.000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11.000.000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770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>Меморандумске ставке за рефундацију расход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1.000.000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1.000.000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1.000.000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1.000.000</w:t>
            </w:r>
          </w:p>
        </w:tc>
      </w:tr>
      <w:tr w:rsidR="00D65FB2" w:rsidRPr="002F3F26" w:rsidTr="003C7BF6">
        <w:tc>
          <w:tcPr>
            <w:tcW w:w="959" w:type="dxa"/>
            <w:shd w:val="clear" w:color="auto" w:fill="auto"/>
            <w:vAlign w:val="center"/>
          </w:tcPr>
          <w:p w:rsidR="00D65FB2" w:rsidRPr="002F3F26" w:rsidRDefault="00D65FB2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810</w:t>
            </w:r>
          </w:p>
        </w:tc>
        <w:tc>
          <w:tcPr>
            <w:tcW w:w="2907" w:type="dxa"/>
            <w:shd w:val="clear" w:color="auto" w:fill="auto"/>
            <w:vAlign w:val="bottom"/>
          </w:tcPr>
          <w:p w:rsidR="00D65FB2" w:rsidRPr="002F3F26" w:rsidRDefault="00D65FB2" w:rsidP="006314E0">
            <w:r w:rsidRPr="002F3F26">
              <w:rPr>
                <w:bCs/>
                <w:lang w:val="ru-RU"/>
              </w:rPr>
              <w:t>Примања од продаје основних средстава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F20BDE" w:rsidRDefault="00D65FB2" w:rsidP="006314E0">
            <w:pPr>
              <w:jc w:val="right"/>
            </w:pPr>
            <w:r>
              <w:t>2.500.000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2.500.000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2.500.000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65FB2" w:rsidRPr="00E44023" w:rsidRDefault="00D65FB2" w:rsidP="006314E0">
            <w:pPr>
              <w:jc w:val="right"/>
            </w:pPr>
            <w:r>
              <w:t>2.500.000</w:t>
            </w:r>
          </w:p>
        </w:tc>
      </w:tr>
      <w:tr w:rsidR="00F368EE" w:rsidRPr="002F3F26" w:rsidTr="003C7BF6">
        <w:tc>
          <w:tcPr>
            <w:tcW w:w="959" w:type="dxa"/>
            <w:shd w:val="clear" w:color="auto" w:fill="auto"/>
            <w:vAlign w:val="center"/>
          </w:tcPr>
          <w:p w:rsidR="0092706B" w:rsidRPr="002F3F26" w:rsidRDefault="0092706B" w:rsidP="006314E0">
            <w:pPr>
              <w:jc w:val="center"/>
              <w:rPr>
                <w:lang w:val="sr-Cyrl-CS"/>
              </w:rPr>
            </w:pPr>
            <w:r w:rsidRPr="002F3F26">
              <w:rPr>
                <w:lang w:val="sr-Cyrl-CS"/>
              </w:rPr>
              <w:t>91</w:t>
            </w:r>
          </w:p>
        </w:tc>
        <w:tc>
          <w:tcPr>
            <w:tcW w:w="2907" w:type="dxa"/>
            <w:shd w:val="clear" w:color="auto" w:fill="auto"/>
          </w:tcPr>
          <w:p w:rsidR="0092706B" w:rsidRPr="002F3F26" w:rsidRDefault="0092706B" w:rsidP="006314E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Примања од задуживања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F20BDE" w:rsidP="006314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E44023" w:rsidP="006314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2706B" w:rsidRPr="002F3F26" w:rsidRDefault="0092706B" w:rsidP="006314E0">
            <w:pPr>
              <w:jc w:val="right"/>
              <w:rPr>
                <w:lang w:val="sr-Cyrl-C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2F3F26" w:rsidRDefault="0092706B" w:rsidP="006314E0">
            <w:pPr>
              <w:jc w:val="right"/>
              <w:rPr>
                <w:lang w:val="sr-Cyrl-CS"/>
              </w:rPr>
            </w:pPr>
          </w:p>
        </w:tc>
      </w:tr>
      <w:tr w:rsidR="0092706B" w:rsidRPr="002F3F26" w:rsidTr="003C7BF6">
        <w:trPr>
          <w:trHeight w:val="301"/>
        </w:trPr>
        <w:tc>
          <w:tcPr>
            <w:tcW w:w="3866" w:type="dxa"/>
            <w:gridSpan w:val="2"/>
            <w:shd w:val="clear" w:color="auto" w:fill="auto"/>
            <w:vAlign w:val="center"/>
          </w:tcPr>
          <w:p w:rsidR="0092706B" w:rsidRPr="002F3F26" w:rsidRDefault="0092706B" w:rsidP="006314E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СВЕГА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1617F" w:rsidRPr="00BA583A" w:rsidRDefault="003C7BF6" w:rsidP="003C7B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F349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D6A8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E414D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A583A">
              <w:rPr>
                <w:b/>
                <w:bCs/>
                <w:color w:val="000000"/>
                <w:sz w:val="22"/>
                <w:szCs w:val="22"/>
              </w:rPr>
              <w:t>610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BA58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F368EE" w:rsidRDefault="003C7BF6" w:rsidP="003C7BF6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1.376.380.000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D0DAF" w:rsidRPr="00BA583A" w:rsidRDefault="003C7BF6" w:rsidP="006314E0">
            <w:pPr>
              <w:jc w:val="right"/>
              <w:rPr>
                <w:b/>
              </w:rPr>
            </w:pPr>
            <w:r>
              <w:rPr>
                <w:b/>
              </w:rPr>
              <w:t>1.400.000.</w:t>
            </w:r>
            <w:r w:rsidR="00BA583A" w:rsidRPr="00BA583A">
              <w:rPr>
                <w:b/>
              </w:rPr>
              <w:t>000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2706B" w:rsidRPr="00BA583A" w:rsidRDefault="00BA583A" w:rsidP="006314E0">
            <w:pPr>
              <w:jc w:val="right"/>
              <w:rPr>
                <w:b/>
              </w:rPr>
            </w:pPr>
            <w:r w:rsidRPr="00BA583A">
              <w:rPr>
                <w:b/>
              </w:rPr>
              <w:t>1</w:t>
            </w:r>
            <w:r w:rsidR="0041185C">
              <w:rPr>
                <w:b/>
              </w:rPr>
              <w:t>.</w:t>
            </w:r>
            <w:r w:rsidRPr="00BA583A">
              <w:rPr>
                <w:b/>
              </w:rPr>
              <w:t>420.000.000</w:t>
            </w:r>
          </w:p>
        </w:tc>
      </w:tr>
    </w:tbl>
    <w:p w:rsidR="00704425" w:rsidRPr="002F3F26" w:rsidRDefault="00704425" w:rsidP="008730A0">
      <w:pPr>
        <w:ind w:firstLine="360"/>
        <w:jc w:val="both"/>
      </w:pPr>
      <w:r w:rsidRPr="002F3F26">
        <w:t xml:space="preserve">                                                     </w:t>
      </w:r>
    </w:p>
    <w:p w:rsidR="00944D27" w:rsidRPr="002F3F26" w:rsidRDefault="005D5D14" w:rsidP="008730A0">
      <w:pPr>
        <w:rPr>
          <w:lang w:val="sr-Cyrl-CS"/>
        </w:rPr>
      </w:pPr>
      <w:r w:rsidRPr="002F3F26">
        <w:t xml:space="preserve">                                                                                                    </w:t>
      </w:r>
      <w:r w:rsidR="00FF2232" w:rsidRPr="002F3F26">
        <w:rPr>
          <w:lang w:val="sr-Cyrl-CS"/>
        </w:rPr>
        <w:t xml:space="preserve"> </w:t>
      </w:r>
    </w:p>
    <w:p w:rsidR="00FF2232" w:rsidRPr="002F3F26" w:rsidRDefault="00FF2232" w:rsidP="008730A0">
      <w:pPr>
        <w:spacing w:after="120"/>
        <w:ind w:firstLine="720"/>
        <w:jc w:val="both"/>
        <w:rPr>
          <w:lang w:val="sr-Cyrl-CS"/>
        </w:rPr>
      </w:pPr>
      <w:r w:rsidRPr="002F3F26">
        <w:rPr>
          <w:lang w:val="sr-Cyrl-CS"/>
        </w:rPr>
        <w:t>4. Планирање расхода за плате и накнаде запослених у складу са колективним уговором (плате, отпремнине, превоз, социјална давања и др.), треба вршити крајње рационално.</w:t>
      </w:r>
    </w:p>
    <w:p w:rsidR="00FF2232" w:rsidRPr="002F3F26" w:rsidRDefault="00FF2232" w:rsidP="008730A0">
      <w:pPr>
        <w:spacing w:after="120"/>
        <w:ind w:firstLine="720"/>
        <w:jc w:val="both"/>
        <w:rPr>
          <w:lang w:val="sr-Cyrl-CS"/>
        </w:rPr>
      </w:pPr>
      <w:r w:rsidRPr="002F3F26">
        <w:rPr>
          <w:lang w:val="sr-Cyrl-CS"/>
        </w:rPr>
        <w:t xml:space="preserve">5. Расходе по основу куповине роба и услуга треба планирати на нивоу </w:t>
      </w:r>
      <w:r w:rsidR="00297EE6" w:rsidRPr="002F3F26">
        <w:rPr>
          <w:lang w:val="sr-Cyrl-CS"/>
        </w:rPr>
        <w:t>201</w:t>
      </w:r>
      <w:r w:rsidR="00E559DC">
        <w:t>8</w:t>
      </w:r>
      <w:r w:rsidR="00297EE6" w:rsidRPr="002F3F26">
        <w:rPr>
          <w:lang w:val="sr-Cyrl-CS"/>
        </w:rPr>
        <w:t>. године</w:t>
      </w:r>
      <w:r w:rsidRPr="002F3F26">
        <w:rPr>
          <w:lang w:val="sr-Cyrl-CS"/>
        </w:rPr>
        <w:t xml:space="preserve"> (ограничења услуге репрезентације, поклона, службених путовања, контрола дневница, фикс</w:t>
      </w:r>
      <w:r w:rsidR="000848E2" w:rsidRPr="002F3F26">
        <w:rPr>
          <w:lang w:val="sr-Cyrl-CS"/>
        </w:rPr>
        <w:t>не  и мобилне телефоније и др.) и они се могу планирати само ако су у функцији обављања изворних и поверених послова у складу са Законом односно актом оснивача</w:t>
      </w:r>
      <w:r w:rsidR="00CB2FB7" w:rsidRPr="002F3F26">
        <w:rPr>
          <w:lang w:val="sr-Cyrl-CS"/>
        </w:rPr>
        <w:t>.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6. Набавка роба и услуга и капитална улагања (зграде, опрема) морају бити у складу са Законом  о јавним набавкама. У 201</w:t>
      </w:r>
      <w:r w:rsidR="00500392">
        <w:t>9</w:t>
      </w:r>
      <w:r w:rsidRPr="002F3F26">
        <w:rPr>
          <w:lang w:val="sr-Cyrl-CS"/>
        </w:rPr>
        <w:t>.  години расходи на терет буџета неће се извршавати уколико не постоји план јавних набавки.</w:t>
      </w:r>
    </w:p>
    <w:p w:rsidR="00CF6FB0" w:rsidRPr="00E22615" w:rsidRDefault="00FF2232" w:rsidP="008730A0">
      <w:pPr>
        <w:jc w:val="both"/>
      </w:pPr>
      <w:r w:rsidRPr="002F3F26">
        <w:rPr>
          <w:lang w:val="sr-Cyrl-CS"/>
        </w:rPr>
        <w:tab/>
      </w:r>
    </w:p>
    <w:p w:rsidR="00FF2232" w:rsidRPr="002F3F26" w:rsidRDefault="00FF2232" w:rsidP="008730A0">
      <w:pPr>
        <w:ind w:firstLine="720"/>
        <w:jc w:val="both"/>
        <w:rPr>
          <w:b/>
          <w:u w:val="single"/>
          <w:lang w:val="sr-Cyrl-CS"/>
        </w:rPr>
      </w:pPr>
      <w:r w:rsidRPr="002F3F26">
        <w:rPr>
          <w:b/>
          <w:u w:val="single"/>
          <w:lang w:val="sr-Cyrl-CS"/>
        </w:rPr>
        <w:t>Преглед обима средстава</w:t>
      </w:r>
    </w:p>
    <w:p w:rsidR="00FF2232" w:rsidRPr="002F3F26" w:rsidRDefault="00FF2232" w:rsidP="008730A0">
      <w:pPr>
        <w:jc w:val="both"/>
        <w:rPr>
          <w:lang w:val="sr-Cyrl-CS"/>
        </w:rPr>
      </w:pPr>
    </w:p>
    <w:p w:rsidR="00944D27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40. тачка 4. Закона о буџетском систему</w:t>
      </w:r>
      <w:r w:rsidR="0077488C" w:rsidRPr="002F3F26">
        <w:rPr>
          <w:lang w:val="sr-Cyrl-CS"/>
        </w:rPr>
        <w:t>.</w:t>
      </w:r>
    </w:p>
    <w:p w:rsidR="002677C9" w:rsidRPr="002F3F26" w:rsidRDefault="002677C9" w:rsidP="008730A0">
      <w:pPr>
        <w:jc w:val="both"/>
        <w:rPr>
          <w:lang w:val="sr-Cyrl-CS"/>
        </w:rPr>
      </w:pP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>Лимити расхода за буџетске кориснике</w:t>
      </w:r>
      <w:r w:rsidR="00E250FC" w:rsidRPr="002F3F26">
        <w:rPr>
          <w:lang w:val="sr-Cyrl-CS"/>
        </w:rPr>
        <w:t xml:space="preserve"> општине Горњи Милановац за 201</w:t>
      </w:r>
      <w:r w:rsidR="000A297E">
        <w:t>9</w:t>
      </w:r>
      <w:r w:rsidRPr="002F3F26">
        <w:rPr>
          <w:lang w:val="sr-Cyrl-CS"/>
        </w:rPr>
        <w:t xml:space="preserve">. годину, дати су на бази сагледавања потребних средстава за рад и функционисање буџетских корисника, </w:t>
      </w:r>
      <w:r w:rsidR="00907757" w:rsidRPr="002F3F26">
        <w:rPr>
          <w:lang w:val="sr-Cyrl-CS"/>
        </w:rPr>
        <w:t>створених</w:t>
      </w:r>
      <w:r w:rsidRPr="002F3F26">
        <w:rPr>
          <w:lang w:val="sr-Cyrl-CS"/>
        </w:rPr>
        <w:t xml:space="preserve"> обавеза и могућности смањења појединих расхода у оквиру директних и </w:t>
      </w:r>
      <w:r w:rsidR="00E250FC" w:rsidRPr="002F3F26">
        <w:rPr>
          <w:lang w:val="sr-Cyrl-CS"/>
        </w:rPr>
        <w:t xml:space="preserve">индиректних буџетских корисника, као и најављених законских </w:t>
      </w:r>
      <w:r w:rsidR="00E250FC" w:rsidRPr="002F3F26">
        <w:rPr>
          <w:lang w:val="sr-Cyrl-CS"/>
        </w:rPr>
        <w:lastRenderedPageBreak/>
        <w:t>прописа од стране Владе Републике Србије</w:t>
      </w:r>
      <w:r w:rsidR="006E54FF">
        <w:rPr>
          <w:lang w:val="sr-Cyrl-CS"/>
        </w:rPr>
        <w:t>,</w:t>
      </w:r>
      <w:r w:rsidR="00E250FC" w:rsidRPr="002F3F26">
        <w:rPr>
          <w:lang w:val="sr-Cyrl-CS"/>
        </w:rPr>
        <w:t xml:space="preserve"> а које ће бити у смислу растерећења привреде, односно смањења појединих јавних прихода.</w:t>
      </w:r>
    </w:p>
    <w:p w:rsidR="00BB3030" w:rsidRDefault="00BB3030" w:rsidP="00BB3030">
      <w:pPr>
        <w:spacing w:after="120"/>
        <w:ind w:firstLine="720"/>
        <w:jc w:val="center"/>
      </w:pPr>
    </w:p>
    <w:p w:rsidR="00BB3030" w:rsidRDefault="0026688E" w:rsidP="00BB3030">
      <w:pPr>
        <w:spacing w:after="120"/>
        <w:ind w:firstLine="720"/>
        <w:jc w:val="right"/>
        <w:rPr>
          <w:b/>
        </w:rPr>
      </w:pPr>
      <w:r w:rsidRPr="002F3F26">
        <w:rPr>
          <w:b/>
          <w:lang w:val="sr-Cyrl-CS"/>
        </w:rPr>
        <w:t>Преглед лимита укупних расхода буџетских корисника</w:t>
      </w:r>
      <w:r w:rsidRPr="002F3F26">
        <w:rPr>
          <w:b/>
        </w:rPr>
        <w:t xml:space="preserve"> </w:t>
      </w:r>
      <w:r w:rsidR="003D21A9">
        <w:rPr>
          <w:b/>
          <w:lang w:val="sr-Cyrl-CS"/>
        </w:rPr>
        <w:t>у 201</w:t>
      </w:r>
      <w:r w:rsidR="000A297E">
        <w:rPr>
          <w:b/>
        </w:rPr>
        <w:t>9, 2020 и 2021</w:t>
      </w:r>
      <w:r w:rsidR="009C7D9C">
        <w:rPr>
          <w:b/>
        </w:rPr>
        <w:t>.</w:t>
      </w:r>
      <w:r w:rsidRPr="002F3F26">
        <w:rPr>
          <w:b/>
        </w:rPr>
        <w:t xml:space="preserve">  </w:t>
      </w:r>
    </w:p>
    <w:p w:rsidR="00944D27" w:rsidRPr="00BB3030" w:rsidRDefault="0026688E" w:rsidP="00BB3030">
      <w:pPr>
        <w:spacing w:after="120"/>
        <w:ind w:firstLine="720"/>
        <w:jc w:val="right"/>
        <w:rPr>
          <w:b/>
        </w:rPr>
      </w:pPr>
      <w:r w:rsidRPr="002F3F26">
        <w:rPr>
          <w:b/>
          <w:lang w:val="sr-Cyrl-CS"/>
        </w:rPr>
        <w:t xml:space="preserve">из </w:t>
      </w:r>
      <w:r w:rsidR="008C6DD6">
        <w:rPr>
          <w:b/>
          <w:lang w:val="sr-Cyrl-CS"/>
        </w:rPr>
        <w:t>текућих прихода и примања</w:t>
      </w:r>
      <w:r w:rsidR="00D72E13">
        <w:rPr>
          <w:b/>
          <w:lang w:val="sr-Cyrl-CS"/>
        </w:rPr>
        <w:t xml:space="preserve"> са </w:t>
      </w:r>
      <w:r w:rsidR="00B13BC9">
        <w:rPr>
          <w:b/>
        </w:rPr>
        <w:t xml:space="preserve">планираним </w:t>
      </w:r>
      <w:r w:rsidR="00D72E13">
        <w:rPr>
          <w:b/>
          <w:lang w:val="sr-Cyrl-CS"/>
        </w:rPr>
        <w:t>расходима из 2018. године</w:t>
      </w:r>
    </w:p>
    <w:p w:rsidR="00FF37B7" w:rsidRPr="002F3F26" w:rsidRDefault="00FF37B7" w:rsidP="008730A0">
      <w:pPr>
        <w:spacing w:after="120"/>
        <w:ind w:firstLine="720"/>
        <w:jc w:val="center"/>
        <w:rPr>
          <w:lang w:val="sr-Cyrl-CS"/>
        </w:rPr>
      </w:pPr>
      <w:r w:rsidRPr="002F3F26">
        <w:rPr>
          <w:lang w:val="sr-Cyrl-CS"/>
        </w:rPr>
        <w:t xml:space="preserve">                                  </w:t>
      </w:r>
      <w:r w:rsidR="00B9490D" w:rsidRPr="002F3F26">
        <w:rPr>
          <w:lang w:val="sr-Cyrl-CS"/>
        </w:rPr>
        <w:t xml:space="preserve">                                                               </w:t>
      </w:r>
      <w:r w:rsidRPr="002F3F26">
        <w:rPr>
          <w:lang w:val="sr-Cyrl-CS"/>
        </w:rPr>
        <w:t xml:space="preserve">   </w:t>
      </w:r>
      <w:r w:rsidR="00671D02">
        <w:rPr>
          <w:lang w:val="sr-Cyrl-CS"/>
        </w:rPr>
        <w:t xml:space="preserve">      </w:t>
      </w:r>
      <w:r w:rsidR="006330AA">
        <w:t xml:space="preserve">       </w:t>
      </w:r>
      <w:r w:rsidR="00671D02">
        <w:rPr>
          <w:lang w:val="sr-Cyrl-CS"/>
        </w:rPr>
        <w:t xml:space="preserve">    </w:t>
      </w:r>
      <w:r w:rsidR="00B9490D" w:rsidRPr="002F3F26">
        <w:rPr>
          <w:lang w:val="sr-Cyrl-CS"/>
        </w:rPr>
        <w:t>(</w:t>
      </w:r>
      <w:r w:rsidR="005A0164">
        <w:rPr>
          <w:lang w:val="sr-Cyrl-CS"/>
        </w:rPr>
        <w:t xml:space="preserve">у 000 </w:t>
      </w:r>
      <w:r w:rsidRPr="002F3F26">
        <w:rPr>
          <w:lang w:val="sr-Cyrl-CS"/>
        </w:rPr>
        <w:t>дин</w:t>
      </w:r>
      <w:r w:rsidR="00B9490D" w:rsidRPr="002F3F26">
        <w:rPr>
          <w:lang w:val="sr-Cyrl-CS"/>
        </w:rPr>
        <w:t>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70"/>
        <w:gridCol w:w="1275"/>
        <w:gridCol w:w="1134"/>
        <w:gridCol w:w="1276"/>
        <w:gridCol w:w="1276"/>
        <w:gridCol w:w="1276"/>
      </w:tblGrid>
      <w:tr w:rsidR="00576F4E" w:rsidRPr="002F3F26" w:rsidTr="001E1789">
        <w:trPr>
          <w:trHeight w:val="38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6F4E" w:rsidRPr="002F3F26" w:rsidRDefault="00576F4E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Р.б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576F4E" w:rsidRPr="002F3F26" w:rsidRDefault="00576F4E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БУЏЕТСКИ КОРИСНИК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76F4E" w:rsidRPr="00576F4E" w:rsidRDefault="00576F4E" w:rsidP="008730A0">
            <w:pPr>
              <w:jc w:val="center"/>
              <w:rPr>
                <w:b/>
              </w:rPr>
            </w:pPr>
            <w:r w:rsidRPr="00576F4E">
              <w:rPr>
                <w:b/>
                <w:sz w:val="22"/>
                <w:szCs w:val="22"/>
              </w:rPr>
              <w:t xml:space="preserve"> Основни буџет </w:t>
            </w:r>
          </w:p>
          <w:p w:rsidR="00576F4E" w:rsidRPr="00576F4E" w:rsidRDefault="00576F4E" w:rsidP="008730A0">
            <w:pPr>
              <w:jc w:val="center"/>
              <w:rPr>
                <w:b/>
              </w:rPr>
            </w:pPr>
            <w:r w:rsidRPr="00576F4E">
              <w:rPr>
                <w:b/>
                <w:sz w:val="22"/>
                <w:szCs w:val="22"/>
              </w:rPr>
              <w:t>за 2018</w:t>
            </w:r>
          </w:p>
        </w:tc>
        <w:tc>
          <w:tcPr>
            <w:tcW w:w="1134" w:type="dxa"/>
            <w:tcBorders>
              <w:bottom w:val="nil"/>
            </w:tcBorders>
          </w:tcPr>
          <w:p w:rsidR="00576F4E" w:rsidRDefault="00576F4E" w:rsidP="008730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Ребаланс</w:t>
            </w:r>
          </w:p>
          <w:p w:rsidR="00576F4E" w:rsidRPr="00576F4E" w:rsidRDefault="00576F4E" w:rsidP="008730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из текућ прихода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576F4E" w:rsidRPr="008B5A87" w:rsidRDefault="00576F4E" w:rsidP="008730A0">
            <w:pPr>
              <w:jc w:val="center"/>
              <w:rPr>
                <w:b/>
                <w:lang w:val="sr-Cyrl-CS"/>
              </w:rPr>
            </w:pPr>
            <w:r w:rsidRPr="008B5A87">
              <w:rPr>
                <w:b/>
                <w:lang w:val="sr-Cyrl-CS"/>
              </w:rPr>
              <w:t>Укупни лимити из буџета</w:t>
            </w:r>
          </w:p>
        </w:tc>
      </w:tr>
      <w:tr w:rsidR="00576F4E" w:rsidRPr="002F3F26" w:rsidTr="001E1789">
        <w:trPr>
          <w:trHeight w:val="260"/>
        </w:trPr>
        <w:tc>
          <w:tcPr>
            <w:tcW w:w="709" w:type="dxa"/>
            <w:vMerge/>
            <w:shd w:val="clear" w:color="auto" w:fill="auto"/>
            <w:vAlign w:val="center"/>
          </w:tcPr>
          <w:p w:rsidR="00576F4E" w:rsidRPr="002F3F26" w:rsidRDefault="00576F4E" w:rsidP="008730A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576F4E" w:rsidRPr="002F3F26" w:rsidRDefault="00576F4E" w:rsidP="008730A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6F4E" w:rsidRPr="008B5A87" w:rsidRDefault="00576F4E" w:rsidP="008730A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76F4E" w:rsidRPr="008B5A87" w:rsidRDefault="00576F4E" w:rsidP="008730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576F4E" w:rsidRPr="005A4009" w:rsidRDefault="00576F4E" w:rsidP="008730A0">
            <w:pPr>
              <w:jc w:val="center"/>
              <w:rPr>
                <w:b/>
              </w:rPr>
            </w:pPr>
            <w:r w:rsidRPr="008B5A87">
              <w:rPr>
                <w:b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4E" w:rsidRPr="005A4009" w:rsidRDefault="005A4009" w:rsidP="008730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F4E" w:rsidRPr="005A4009" w:rsidRDefault="005A4009" w:rsidP="008730A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  <w:r w:rsidRPr="003F1FD7">
              <w:rPr>
                <w:lang w:val="sr-Cyrl-CS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3F1FD7" w:rsidRDefault="006632A1" w:rsidP="008730A0">
            <w:pPr>
              <w:rPr>
                <w:b/>
                <w:lang w:val="sr-Cyrl-CS"/>
              </w:rPr>
            </w:pPr>
            <w:r w:rsidRPr="003F1FD7">
              <w:rPr>
                <w:b/>
                <w:lang w:val="sr-Cyrl-CS"/>
              </w:rPr>
              <w:t xml:space="preserve">Скупштина општине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AE2BC1" w:rsidRDefault="006632A1" w:rsidP="008730A0">
            <w:pPr>
              <w:jc w:val="right"/>
              <w:rPr>
                <w:b/>
              </w:rPr>
            </w:pPr>
            <w:r w:rsidRPr="00AE2BC1">
              <w:rPr>
                <w:b/>
              </w:rPr>
              <w:t>14.080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DD7C91" w:rsidRDefault="00DD7C91" w:rsidP="008730A0">
            <w:pPr>
              <w:jc w:val="right"/>
              <w:rPr>
                <w:b/>
              </w:rPr>
            </w:pPr>
            <w:r w:rsidRPr="00DD7C91">
              <w:rPr>
                <w:b/>
              </w:rPr>
              <w:t>14.310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165B1A" w:rsidP="008730A0">
            <w:pPr>
              <w:jc w:val="right"/>
              <w:rPr>
                <w:b/>
              </w:rPr>
            </w:pPr>
            <w:r w:rsidRPr="006D2E04">
              <w:rPr>
                <w:b/>
              </w:rPr>
              <w:t>14.500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D2E04" w:rsidP="008730A0">
            <w:pPr>
              <w:jc w:val="right"/>
              <w:rPr>
                <w:b/>
              </w:rPr>
            </w:pPr>
            <w:r w:rsidRPr="006D2E04">
              <w:rPr>
                <w:b/>
              </w:rPr>
              <w:t>14.500</w:t>
            </w: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  <w:r w:rsidRPr="003F1FD7">
              <w:rPr>
                <w:lang w:val="sr-Cyrl-CS"/>
              </w:rPr>
              <w:t>2.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b/>
                <w:bCs/>
                <w:color w:val="000000"/>
              </w:rPr>
            </w:pPr>
            <w:r w:rsidRPr="003F1FD7">
              <w:rPr>
                <w:b/>
                <w:bCs/>
                <w:color w:val="000000"/>
              </w:rPr>
              <w:t>Председник општине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</w:t>
            </w:r>
            <w:r w:rsidRPr="003F1FD7">
              <w:rPr>
                <w:b/>
                <w:bCs/>
                <w:color w:val="000000"/>
              </w:rPr>
              <w:t>580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DD7C91" w:rsidRDefault="00DD7C91" w:rsidP="008730A0">
            <w:pPr>
              <w:jc w:val="right"/>
              <w:rPr>
                <w:b/>
              </w:rPr>
            </w:pPr>
            <w:r w:rsidRPr="00DD7C91">
              <w:rPr>
                <w:b/>
              </w:rPr>
              <w:t>142.910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165B1A" w:rsidP="008730A0">
            <w:pPr>
              <w:jc w:val="right"/>
              <w:rPr>
                <w:b/>
              </w:rPr>
            </w:pPr>
            <w:r w:rsidRPr="006D2E04">
              <w:rPr>
                <w:b/>
              </w:rPr>
              <w:t>143.000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D2E04" w:rsidP="008730A0">
            <w:pPr>
              <w:jc w:val="right"/>
              <w:rPr>
                <w:b/>
              </w:rPr>
            </w:pPr>
            <w:r w:rsidRPr="006D2E04">
              <w:rPr>
                <w:b/>
              </w:rPr>
              <w:t>143.000</w:t>
            </w: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Предс. Општ,  Програм 16 - Полит систем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46,400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Предс. Општ,  Програм 15- Цивилна одбрана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3,000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Предс. Општ,  Програм 15- Локални економски развој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15,000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Предс. Општ,  Програм 11- Социјална и дечја заштита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29,080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Предс. Општ,  Програм 12- Здравствена заштита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1,000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3F1FD7" w:rsidRDefault="006632A1">
            <w:pPr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Предс. Општ,  Програм 14- Развој спорта и омладине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3F1FD7" w:rsidRDefault="006632A1">
            <w:pPr>
              <w:jc w:val="right"/>
              <w:rPr>
                <w:i/>
                <w:iCs/>
                <w:color w:val="000000"/>
              </w:rPr>
            </w:pPr>
            <w:r w:rsidRPr="003F1FD7">
              <w:rPr>
                <w:i/>
                <w:iCs/>
                <w:color w:val="000000"/>
              </w:rPr>
              <w:t>28,100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632A1" w:rsidP="008730A0">
            <w:pPr>
              <w:jc w:val="right"/>
              <w:rPr>
                <w:b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3F1FD7" w:rsidRDefault="006632A1" w:rsidP="008730A0">
            <w:pPr>
              <w:jc w:val="center"/>
              <w:rPr>
                <w:lang w:val="sr-Cyrl-CS"/>
              </w:rPr>
            </w:pPr>
            <w:r w:rsidRPr="003F1FD7">
              <w:rPr>
                <w:lang w:val="sr-Cyrl-CS"/>
              </w:rPr>
              <w:t>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3F1FD7" w:rsidRDefault="006632A1" w:rsidP="008730A0">
            <w:pPr>
              <w:rPr>
                <w:b/>
                <w:lang w:val="sr-Cyrl-CS"/>
              </w:rPr>
            </w:pPr>
            <w:r w:rsidRPr="003F1FD7">
              <w:rPr>
                <w:b/>
                <w:lang w:val="sr-Cyrl-CS"/>
              </w:rPr>
              <w:t>Општинско веће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Default="006632A1" w:rsidP="001A7C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3.500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DD7C91" w:rsidRDefault="00DD7C91" w:rsidP="008730A0">
            <w:pPr>
              <w:jc w:val="right"/>
              <w:rPr>
                <w:b/>
              </w:rPr>
            </w:pPr>
            <w:r w:rsidRPr="00DD7C91">
              <w:rPr>
                <w:b/>
              </w:rPr>
              <w:t>3.650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A94BF6" w:rsidP="008730A0">
            <w:pPr>
              <w:jc w:val="right"/>
              <w:rPr>
                <w:b/>
              </w:rPr>
            </w:pPr>
            <w:r w:rsidRPr="006D2E04">
              <w:rPr>
                <w:b/>
              </w:rPr>
              <w:t>3.650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D2E04" w:rsidRDefault="006D2E04" w:rsidP="008730A0">
            <w:pPr>
              <w:jc w:val="right"/>
              <w:rPr>
                <w:b/>
              </w:rPr>
            </w:pPr>
            <w:r>
              <w:rPr>
                <w:b/>
              </w:rPr>
              <w:t>3.650</w:t>
            </w: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 w:rsidP="008730A0">
            <w:pPr>
              <w:jc w:val="center"/>
              <w:rPr>
                <w:lang w:val="sr-Cyrl-CS"/>
              </w:rPr>
            </w:pPr>
            <w:r w:rsidRPr="0001709A">
              <w:rPr>
                <w:lang w:val="sr-Cyrl-CS"/>
              </w:rPr>
              <w:t>4.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01709A" w:rsidRDefault="006632A1">
            <w:pPr>
              <w:rPr>
                <w:b/>
                <w:bCs/>
                <w:color w:val="000000"/>
              </w:rPr>
            </w:pPr>
            <w:r w:rsidRPr="0001709A">
              <w:rPr>
                <w:b/>
                <w:bCs/>
                <w:color w:val="000000"/>
              </w:rPr>
              <w:t>Општинска управа - укупно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32A1" w:rsidRPr="001175A7" w:rsidRDefault="00663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719.671</w:t>
            </w:r>
          </w:p>
        </w:tc>
        <w:tc>
          <w:tcPr>
            <w:tcW w:w="1134" w:type="dxa"/>
            <w:vAlign w:val="bottom"/>
          </w:tcPr>
          <w:p w:rsidR="006632A1" w:rsidRPr="006632A1" w:rsidRDefault="00663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730,371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7B122E" w:rsidP="008730A0">
            <w:pPr>
              <w:jc w:val="right"/>
              <w:rPr>
                <w:b/>
              </w:rPr>
            </w:pPr>
            <w:r>
              <w:rPr>
                <w:b/>
              </w:rPr>
              <w:t>719.050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4A14B1" w:rsidP="008730A0">
            <w:pPr>
              <w:jc w:val="right"/>
              <w:rPr>
                <w:b/>
              </w:rPr>
            </w:pPr>
            <w:r>
              <w:rPr>
                <w:b/>
              </w:rPr>
              <w:t>739.250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9C1225" w:rsidRDefault="00AA353B" w:rsidP="008730A0">
            <w:pPr>
              <w:jc w:val="right"/>
              <w:rPr>
                <w:b/>
              </w:rPr>
            </w:pPr>
            <w:r>
              <w:rPr>
                <w:b/>
              </w:rPr>
              <w:t>759.250</w:t>
            </w: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ОУ, Програм 15- Лок. самоуправа, функц.кл. 133 - Опште услуге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215,750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220,250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9C1225" w:rsidRDefault="006632A1" w:rsidP="008730A0">
            <w:pPr>
              <w:jc w:val="right"/>
              <w:rPr>
                <w:i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4.2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ОУ, Програм 15- Лок. самоуправа, функц.кл. 620- Развој заједнице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162,310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162,810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9C1225" w:rsidRDefault="006632A1" w:rsidP="008730A0">
            <w:pPr>
              <w:jc w:val="right"/>
              <w:rPr>
                <w:i/>
              </w:rPr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 xml:space="preserve">Општинска управа, Програм 2 - </w:t>
            </w:r>
            <w:r w:rsidRPr="0001709A">
              <w:rPr>
                <w:i/>
                <w:iCs/>
                <w:color w:val="000000"/>
              </w:rPr>
              <w:br/>
              <w:t>Комунална делатност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72,750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8B5A87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3942D0" w:rsidRDefault="006632A1" w:rsidP="008730A0">
            <w:pPr>
              <w:jc w:val="right"/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4.4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 xml:space="preserve">Општинска управа, Програм 6 - </w:t>
            </w:r>
            <w:r w:rsidRPr="0001709A">
              <w:rPr>
                <w:i/>
                <w:iCs/>
                <w:color w:val="000000"/>
              </w:rPr>
              <w:br/>
              <w:t>Заштита животне средине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14,820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4.5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 xml:space="preserve">Општинска управа, Програм 7 - </w:t>
            </w:r>
            <w:r w:rsidRPr="0001709A">
              <w:rPr>
                <w:i/>
                <w:iCs/>
                <w:color w:val="000000"/>
              </w:rPr>
              <w:br/>
              <w:t>Орг.саобраћаја и саобр.инфрастр.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175,400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 xml:space="preserve">Општинска управа, Програм 5 - </w:t>
            </w:r>
            <w:r w:rsidRPr="0001709A">
              <w:rPr>
                <w:i/>
                <w:iCs/>
                <w:color w:val="000000"/>
              </w:rPr>
              <w:br/>
              <w:t>Развој пољопривреде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50,000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</w:tr>
      <w:tr w:rsidR="006632A1" w:rsidRPr="002F3F26" w:rsidTr="005B063C">
        <w:tc>
          <w:tcPr>
            <w:tcW w:w="709" w:type="dxa"/>
            <w:shd w:val="clear" w:color="auto" w:fill="auto"/>
            <w:vAlign w:val="center"/>
          </w:tcPr>
          <w:p w:rsidR="006632A1" w:rsidRPr="0001709A" w:rsidRDefault="006632A1">
            <w:pPr>
              <w:jc w:val="center"/>
              <w:rPr>
                <w:color w:val="000000"/>
              </w:rPr>
            </w:pPr>
            <w:r w:rsidRPr="0001709A">
              <w:rPr>
                <w:color w:val="000000"/>
              </w:rPr>
              <w:t>4.7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32A1" w:rsidRPr="0001709A" w:rsidRDefault="006632A1">
            <w:pPr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 xml:space="preserve">Општинска управа, Програм 11 - </w:t>
            </w:r>
            <w:r w:rsidRPr="0001709A">
              <w:rPr>
                <w:i/>
                <w:iCs/>
                <w:color w:val="000000"/>
              </w:rPr>
              <w:br/>
              <w:t>Социјална и дечја заштита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2A1" w:rsidRPr="0001709A" w:rsidRDefault="006632A1">
            <w:pPr>
              <w:jc w:val="right"/>
              <w:rPr>
                <w:i/>
                <w:iCs/>
                <w:color w:val="000000"/>
              </w:rPr>
            </w:pPr>
            <w:r w:rsidRPr="0001709A">
              <w:rPr>
                <w:i/>
                <w:iCs/>
                <w:color w:val="000000"/>
              </w:rPr>
              <w:t>28,641</w:t>
            </w:r>
          </w:p>
        </w:tc>
        <w:tc>
          <w:tcPr>
            <w:tcW w:w="1134" w:type="dxa"/>
            <w:vAlign w:val="center"/>
          </w:tcPr>
          <w:p w:rsidR="006632A1" w:rsidRPr="006632A1" w:rsidRDefault="006632A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28,641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32A1" w:rsidRPr="00695C7D" w:rsidRDefault="006632A1" w:rsidP="008730A0">
            <w:pPr>
              <w:jc w:val="right"/>
            </w:pP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01709A" w:rsidRDefault="00ED1E14" w:rsidP="008730A0">
            <w:pPr>
              <w:jc w:val="center"/>
              <w:rPr>
                <w:lang w:val="sr-Cyrl-CS"/>
              </w:rPr>
            </w:pPr>
            <w:r w:rsidRPr="0001709A">
              <w:rPr>
                <w:lang w:val="sr-Cyrl-CS"/>
              </w:rPr>
              <w:t>4.6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01709A" w:rsidRDefault="00ED1E14" w:rsidP="008730A0">
            <w:pPr>
              <w:rPr>
                <w:lang w:val="sr-Cyrl-CS"/>
              </w:rPr>
            </w:pPr>
            <w:r w:rsidRPr="0001709A">
              <w:rPr>
                <w:lang w:val="sr-Cyrl-CS"/>
              </w:rPr>
              <w:t>Фонд за заштиту животне средине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01709A" w:rsidRDefault="00ED1E14">
            <w:pPr>
              <w:jc w:val="right"/>
              <w:rPr>
                <w:color w:val="000000"/>
              </w:rPr>
            </w:pPr>
            <w:r w:rsidRPr="0001709A">
              <w:rPr>
                <w:color w:val="000000"/>
              </w:rPr>
              <w:t>15,000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01709A" w:rsidRDefault="00ED1E14" w:rsidP="008730A0">
            <w:pPr>
              <w:jc w:val="center"/>
              <w:rPr>
                <w:lang w:val="sr-Cyrl-CS"/>
              </w:rPr>
            </w:pPr>
            <w:r w:rsidRPr="0001709A">
              <w:rPr>
                <w:lang w:val="sr-Cyrl-CS"/>
              </w:rPr>
              <w:t>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01709A" w:rsidRDefault="00ED1E14" w:rsidP="008730A0">
            <w:pPr>
              <w:rPr>
                <w:lang w:val="sr-Cyrl-CS"/>
              </w:rPr>
            </w:pPr>
            <w:r w:rsidRPr="0001709A">
              <w:rPr>
                <w:lang w:val="sr-Cyrl-CS"/>
              </w:rPr>
              <w:t>Месне заједнице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E14" w:rsidRPr="0001709A" w:rsidRDefault="00ED1E14">
            <w:pPr>
              <w:jc w:val="right"/>
              <w:rPr>
                <w:color w:val="000000"/>
              </w:rPr>
            </w:pPr>
            <w:r w:rsidRPr="0001709A">
              <w:rPr>
                <w:color w:val="000000"/>
              </w:rPr>
              <w:t>9,644</w:t>
            </w:r>
          </w:p>
        </w:tc>
        <w:tc>
          <w:tcPr>
            <w:tcW w:w="1134" w:type="dxa"/>
            <w:vAlign w:val="center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10.000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01709A" w:rsidRDefault="00ED1E14" w:rsidP="008730A0">
            <w:pPr>
              <w:jc w:val="center"/>
              <w:rPr>
                <w:lang w:val="sr-Cyrl-CS"/>
              </w:rPr>
            </w:pPr>
            <w:r w:rsidRPr="0001709A">
              <w:rPr>
                <w:lang w:val="sr-Cyrl-CS"/>
              </w:rPr>
              <w:t>6.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01709A" w:rsidRDefault="00ED1E14" w:rsidP="008730A0">
            <w:pPr>
              <w:rPr>
                <w:lang w:val="sr-Cyrl-CS"/>
              </w:rPr>
            </w:pPr>
            <w:r w:rsidRPr="0001709A">
              <w:rPr>
                <w:lang w:val="sr-Cyrl-CS"/>
              </w:rPr>
              <w:t>Дом здравља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01709A" w:rsidRDefault="00ED1E14">
            <w:pPr>
              <w:jc w:val="right"/>
              <w:rPr>
                <w:color w:val="000000"/>
              </w:rPr>
            </w:pPr>
            <w:r w:rsidRPr="0001709A">
              <w:rPr>
                <w:color w:val="000000"/>
              </w:rPr>
              <w:t>10,000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11,253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9B12B1" w:rsidRDefault="00ED1E14" w:rsidP="008730A0">
            <w:r>
              <w:t>Апотека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2F3F26">
              <w:rPr>
                <w:lang w:val="sr-Cyrl-CS"/>
              </w:rPr>
              <w:t>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Основно образовање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95,460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86.200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87.000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Средње образовање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32,000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30.000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30.000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Стипендије студената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8.000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Предшколска  установа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172,700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182,060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182.600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184.000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184.000</w:t>
            </w:r>
          </w:p>
        </w:tc>
      </w:tr>
      <w:tr w:rsidR="00AC484F" w:rsidRPr="002F3F26" w:rsidTr="005B063C">
        <w:tc>
          <w:tcPr>
            <w:tcW w:w="709" w:type="dxa"/>
            <w:shd w:val="clear" w:color="auto" w:fill="auto"/>
            <w:vAlign w:val="center"/>
          </w:tcPr>
          <w:p w:rsidR="00AC484F" w:rsidRPr="002F3F26" w:rsidRDefault="00AC484F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C484F" w:rsidRPr="002F3F26" w:rsidRDefault="00AC484F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Центар за социјални рад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484F" w:rsidRPr="0099359A" w:rsidRDefault="00AC48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10,600</w:t>
            </w:r>
          </w:p>
        </w:tc>
        <w:tc>
          <w:tcPr>
            <w:tcW w:w="1134" w:type="dxa"/>
            <w:vAlign w:val="bottom"/>
          </w:tcPr>
          <w:p w:rsidR="00AC484F" w:rsidRPr="007C306B" w:rsidRDefault="00AC484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84F" w:rsidRPr="008B257F" w:rsidRDefault="00AC484F" w:rsidP="008730A0">
            <w:pPr>
              <w:jc w:val="right"/>
              <w:rPr>
                <w:b/>
              </w:rPr>
            </w:pPr>
            <w:r>
              <w:rPr>
                <w:b/>
              </w:rPr>
              <w:t>11.550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84F" w:rsidRDefault="00AC484F" w:rsidP="00AC484F">
            <w:pPr>
              <w:jc w:val="right"/>
            </w:pPr>
            <w:r w:rsidRPr="00326920">
              <w:rPr>
                <w:b/>
              </w:rPr>
              <w:t>11.550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84F" w:rsidRDefault="00AC484F" w:rsidP="00AC484F">
            <w:pPr>
              <w:jc w:val="right"/>
            </w:pPr>
            <w:r w:rsidRPr="00326920">
              <w:rPr>
                <w:b/>
              </w:rPr>
              <w:t>11.550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Културни центар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27,097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28.000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28.000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28.000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Библиотека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15,036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15.000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Музеј рудничко-таковског краја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22,127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22.100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22.100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22.100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Туристичка организација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8,820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8.800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8.800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8.800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ЈКП „Горњи Милановац“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34" w:type="dxa"/>
            <w:vAlign w:val="bottom"/>
          </w:tcPr>
          <w:p w:rsidR="00ED1E14" w:rsidRPr="007C306B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20.000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20,000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 w:rsidRPr="002F3F26">
              <w:rPr>
                <w:lang w:val="sr-Cyrl-CS"/>
              </w:rPr>
              <w:t>ЈП „Рзав“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1134" w:type="dxa"/>
            <w:vAlign w:val="bottom"/>
          </w:tcPr>
          <w:p w:rsidR="00ED1E14" w:rsidRPr="005F2E8D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6.000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6.000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ЈП за изградњу општине Гор Милан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4" w:type="dxa"/>
            <w:vAlign w:val="bottom"/>
          </w:tcPr>
          <w:p w:rsidR="00ED1E14" w:rsidRPr="005F2E8D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5.000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Установа „Спортско - рекр. </w:t>
            </w:r>
            <w:r w:rsidRPr="002F3F26">
              <w:rPr>
                <w:lang w:val="sr-Cyrl-CS"/>
              </w:rPr>
              <w:t>центар“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18,800</w:t>
            </w:r>
          </w:p>
        </w:tc>
        <w:tc>
          <w:tcPr>
            <w:tcW w:w="1134" w:type="dxa"/>
            <w:vAlign w:val="bottom"/>
          </w:tcPr>
          <w:p w:rsidR="00ED1E14" w:rsidRPr="005F2E8D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18.800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18.800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18.800</w:t>
            </w:r>
          </w:p>
        </w:tc>
      </w:tr>
      <w:tr w:rsidR="00ED1E14" w:rsidRPr="002F3F26" w:rsidTr="005B063C">
        <w:tc>
          <w:tcPr>
            <w:tcW w:w="709" w:type="dxa"/>
            <w:shd w:val="clear" w:color="auto" w:fill="auto"/>
            <w:vAlign w:val="center"/>
          </w:tcPr>
          <w:p w:rsidR="00ED1E14" w:rsidRPr="002F3F26" w:rsidRDefault="00ED1E14" w:rsidP="008730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D1E14" w:rsidRPr="002F3F26" w:rsidRDefault="00ED1E14" w:rsidP="008730A0">
            <w:pPr>
              <w:rPr>
                <w:lang w:val="sr-Cyrl-CS"/>
              </w:rPr>
            </w:pPr>
            <w:r>
              <w:rPr>
                <w:lang w:val="sr-Cyrl-CS"/>
              </w:rPr>
              <w:t>Општинско правобранилаштво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D1E14" w:rsidRPr="0099359A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3,600</w:t>
            </w:r>
          </w:p>
        </w:tc>
        <w:tc>
          <w:tcPr>
            <w:tcW w:w="1134" w:type="dxa"/>
            <w:vAlign w:val="bottom"/>
          </w:tcPr>
          <w:p w:rsidR="00ED1E14" w:rsidRPr="005F2E8D" w:rsidRDefault="00ED1E1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E14" w:rsidRPr="008B257F" w:rsidRDefault="00ED1E14" w:rsidP="008730A0">
            <w:pPr>
              <w:jc w:val="right"/>
              <w:rPr>
                <w:b/>
              </w:rPr>
            </w:pPr>
            <w:r w:rsidRPr="008B257F">
              <w:rPr>
                <w:b/>
              </w:rPr>
              <w:t>3.600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1E14" w:rsidRPr="007F3EC5" w:rsidRDefault="00ED1E14" w:rsidP="005F118C">
            <w:pPr>
              <w:jc w:val="right"/>
              <w:rPr>
                <w:b/>
                <w:color w:val="000000"/>
              </w:rPr>
            </w:pPr>
            <w:r w:rsidRPr="007F3EC5">
              <w:rPr>
                <w:b/>
                <w:color w:val="000000"/>
                <w:sz w:val="22"/>
                <w:szCs w:val="22"/>
              </w:rPr>
              <w:t>4.000</w:t>
            </w:r>
          </w:p>
        </w:tc>
      </w:tr>
      <w:tr w:rsidR="00FE6756" w:rsidRPr="002F3F26" w:rsidTr="005B063C">
        <w:tc>
          <w:tcPr>
            <w:tcW w:w="4679" w:type="dxa"/>
            <w:gridSpan w:val="2"/>
            <w:shd w:val="clear" w:color="auto" w:fill="auto"/>
            <w:vAlign w:val="center"/>
          </w:tcPr>
          <w:p w:rsidR="00FE6756" w:rsidRPr="002F3F26" w:rsidRDefault="00FE6756" w:rsidP="008730A0">
            <w:pPr>
              <w:jc w:val="center"/>
              <w:rPr>
                <w:b/>
                <w:lang w:val="sr-Cyrl-CS"/>
              </w:rPr>
            </w:pPr>
            <w:r w:rsidRPr="002F3F26">
              <w:rPr>
                <w:b/>
                <w:lang w:val="sr-Cyrl-CS"/>
              </w:rPr>
              <w:t>УКУПНО 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6756" w:rsidRPr="00EF549E" w:rsidRDefault="00FE6756" w:rsidP="00EF549E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1.361.615</w:t>
            </w:r>
          </w:p>
        </w:tc>
        <w:tc>
          <w:tcPr>
            <w:tcW w:w="1134" w:type="dxa"/>
            <w:vAlign w:val="bottom"/>
          </w:tcPr>
          <w:p w:rsidR="00FE6756" w:rsidRPr="00FE6756" w:rsidRDefault="00FE6756" w:rsidP="00FE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1.396.610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756" w:rsidRPr="005F2E8D" w:rsidRDefault="00E174E7" w:rsidP="008552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1.376.380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E6756" w:rsidRPr="00FD3CCA" w:rsidRDefault="001E1789" w:rsidP="008730A0">
            <w:pPr>
              <w:jc w:val="right"/>
              <w:rPr>
                <w:b/>
              </w:rPr>
            </w:pPr>
            <w:r>
              <w:rPr>
                <w:b/>
              </w:rPr>
              <w:t>1.400.000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E6756" w:rsidRPr="00FD3CCA" w:rsidRDefault="001E1789" w:rsidP="008730A0">
            <w:pPr>
              <w:jc w:val="right"/>
              <w:rPr>
                <w:b/>
              </w:rPr>
            </w:pPr>
            <w:r>
              <w:rPr>
                <w:b/>
              </w:rPr>
              <w:t>1.420.000</w:t>
            </w:r>
          </w:p>
        </w:tc>
      </w:tr>
    </w:tbl>
    <w:p w:rsidR="006E343E" w:rsidRPr="00CB6B47" w:rsidRDefault="006E343E" w:rsidP="008730A0">
      <w:pPr>
        <w:autoSpaceDE w:val="0"/>
        <w:autoSpaceDN w:val="0"/>
        <w:adjustRightInd w:val="0"/>
        <w:jc w:val="center"/>
        <w:rPr>
          <w:rFonts w:eastAsiaTheme="minorHAnsi"/>
          <w:bCs/>
          <w:lang w:val="sr-Cyrl-CS"/>
        </w:rPr>
      </w:pPr>
    </w:p>
    <w:p w:rsidR="002A063A" w:rsidRDefault="002A063A" w:rsidP="008730A0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3F0C62" w:rsidRPr="002F3F26" w:rsidRDefault="009E15B9" w:rsidP="008730A0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2F3F26">
        <w:rPr>
          <w:rFonts w:eastAsiaTheme="minorHAnsi"/>
          <w:b/>
          <w:bCs/>
          <w:lang w:val="sr-Cyrl-CS"/>
        </w:rPr>
        <w:t>П</w:t>
      </w:r>
      <w:r w:rsidRPr="002F3F26">
        <w:rPr>
          <w:rFonts w:eastAsiaTheme="minorHAnsi"/>
          <w:b/>
          <w:bCs/>
        </w:rPr>
        <w:t>оступак и динамика припреме буџета локалне власти и</w:t>
      </w:r>
      <w:r w:rsidRPr="002F3F26">
        <w:rPr>
          <w:rFonts w:eastAsiaTheme="minorHAnsi"/>
          <w:b/>
          <w:bCs/>
          <w:lang w:val="sr-Cyrl-CS"/>
        </w:rPr>
        <w:t xml:space="preserve"> </w:t>
      </w:r>
      <w:r w:rsidRPr="002F3F26">
        <w:rPr>
          <w:rFonts w:eastAsiaTheme="minorHAnsi"/>
          <w:b/>
          <w:bCs/>
        </w:rPr>
        <w:t xml:space="preserve">предлога финансијских планова </w:t>
      </w:r>
      <w:r w:rsidRPr="002F3F26">
        <w:rPr>
          <w:rFonts w:eastAsiaTheme="minorHAnsi"/>
          <w:b/>
          <w:bCs/>
          <w:lang w:val="sr-Cyrl-CS"/>
        </w:rPr>
        <w:t xml:space="preserve"> к</w:t>
      </w:r>
      <w:r w:rsidRPr="002F3F26">
        <w:rPr>
          <w:rFonts w:eastAsiaTheme="minorHAnsi"/>
          <w:b/>
          <w:bCs/>
        </w:rPr>
        <w:t>орисника средстава</w:t>
      </w:r>
      <w:r w:rsidRPr="002F3F26">
        <w:rPr>
          <w:rFonts w:eastAsiaTheme="minorHAnsi"/>
          <w:b/>
          <w:bCs/>
          <w:lang w:val="sr-Cyrl-CS"/>
        </w:rPr>
        <w:t xml:space="preserve"> </w:t>
      </w:r>
      <w:r w:rsidRPr="002F3F26">
        <w:rPr>
          <w:rFonts w:eastAsiaTheme="minorHAnsi"/>
          <w:b/>
          <w:bCs/>
        </w:rPr>
        <w:t>буџета локалне власти</w:t>
      </w:r>
    </w:p>
    <w:p w:rsidR="003F0C62" w:rsidRPr="002F3F26" w:rsidRDefault="003F0C62" w:rsidP="008730A0">
      <w:pPr>
        <w:jc w:val="both"/>
        <w:rPr>
          <w:lang w:val="sr-Cyrl-CS"/>
        </w:rPr>
      </w:pPr>
    </w:p>
    <w:p w:rsidR="00872ECD" w:rsidRPr="002F3F26" w:rsidRDefault="00FF2232" w:rsidP="008730A0">
      <w:pPr>
        <w:ind w:firstLine="720"/>
        <w:jc w:val="both"/>
      </w:pPr>
      <w:r w:rsidRPr="002F3F26">
        <w:rPr>
          <w:lang w:val="sr-Cyrl-CS"/>
        </w:rPr>
        <w:t>Пр</w:t>
      </w:r>
      <w:r w:rsidR="0077488C" w:rsidRPr="002F3F26">
        <w:rPr>
          <w:lang w:val="sr-Cyrl-CS"/>
        </w:rPr>
        <w:t>едлог финаснијског плана за 201</w:t>
      </w:r>
      <w:r w:rsidR="00ED0BFD">
        <w:t>9</w:t>
      </w:r>
      <w:r w:rsidRPr="002F3F26">
        <w:rPr>
          <w:lang w:val="sr-Cyrl-CS"/>
        </w:rPr>
        <w:t xml:space="preserve">. годину мора да представља процену финансијских потреба корисника буџетских средстава, као и извора средстава из којих ће се ове потребе финансирати. </w:t>
      </w:r>
    </w:p>
    <w:p w:rsidR="00872ECD" w:rsidRPr="002F3F26" w:rsidRDefault="00872ECD" w:rsidP="008730A0">
      <w:pPr>
        <w:ind w:firstLine="720"/>
        <w:jc w:val="both"/>
      </w:pPr>
    </w:p>
    <w:p w:rsidR="00872ECD" w:rsidRPr="002F3F26" w:rsidRDefault="00872ECD" w:rsidP="008730A0">
      <w:pPr>
        <w:ind w:firstLine="720"/>
        <w:jc w:val="both"/>
      </w:pPr>
      <w:r w:rsidRPr="002F3F26">
        <w:t>Корисници буџетских средстава израђују предлоге финансијских планова за буџетску годину са пројекцијама</w:t>
      </w:r>
      <w:r w:rsidR="006941DF" w:rsidRPr="002F3F26">
        <w:t xml:space="preserve"> за наредне две фискалне године</w:t>
      </w:r>
      <w:r w:rsidRPr="002F3F26">
        <w:t>, без обзира да ли се капитални пројекти уговарају фазно по годинама или корисник преузима обавезе по уговору који захтева плаћање у више година.</w:t>
      </w:r>
    </w:p>
    <w:p w:rsidR="00FF2232" w:rsidRPr="002F3F26" w:rsidRDefault="00FF2232" w:rsidP="008730A0">
      <w:pPr>
        <w:jc w:val="both"/>
        <w:rPr>
          <w:lang w:val="en-GB"/>
        </w:rPr>
      </w:pPr>
      <w:r w:rsidRPr="002F3F26">
        <w:rPr>
          <w:lang w:val="sr-Cyrl-CS"/>
        </w:rPr>
        <w:tab/>
        <w:t xml:space="preserve">Посебно  је важно да буџетски корисници у предлогу свог финансијског плана, осим буџетских,  искажу и </w:t>
      </w:r>
      <w:r w:rsidRPr="002F3F26">
        <w:rPr>
          <w:b/>
          <w:u w:val="single"/>
          <w:lang w:val="sr-Cyrl-CS"/>
        </w:rPr>
        <w:t>друге изворе финансирања</w:t>
      </w:r>
      <w:r w:rsidRPr="002F3F26">
        <w:rPr>
          <w:lang w:val="sr-Cyrl-CS"/>
        </w:rPr>
        <w:t xml:space="preserve"> (сопствени приходи, донације и сл.). Услов за коришћење остварених сопствених прихода за одређену намену биће да је расход планиран у буџету</w:t>
      </w:r>
      <w:r w:rsidR="002560B3" w:rsidRPr="002F3F26">
        <w:rPr>
          <w:lang w:val="en-GB"/>
        </w:rPr>
        <w:t>.</w:t>
      </w:r>
    </w:p>
    <w:p w:rsidR="0068497A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</w:r>
    </w:p>
    <w:p w:rsidR="007B533A" w:rsidRPr="002F3F26" w:rsidRDefault="007B533A" w:rsidP="008730A0">
      <w:pPr>
        <w:ind w:firstLine="720"/>
        <w:jc w:val="both"/>
        <w:rPr>
          <w:rFonts w:eastAsiaTheme="minorHAnsi"/>
          <w:b/>
          <w:bCs/>
          <w:lang w:val="sr-Cyrl-CS"/>
        </w:rPr>
      </w:pPr>
      <w:r w:rsidRPr="002F3F26">
        <w:rPr>
          <w:rFonts w:eastAsiaTheme="minorHAnsi"/>
          <w:b/>
          <w:bCs/>
        </w:rPr>
        <w:t>Предлог финансијског плана обухвата:</w:t>
      </w:r>
    </w:p>
    <w:p w:rsidR="007B533A" w:rsidRPr="002F3F26" w:rsidRDefault="007B533A" w:rsidP="008730A0">
      <w:pPr>
        <w:jc w:val="both"/>
        <w:rPr>
          <w:rFonts w:eastAsiaTheme="minorHAnsi"/>
          <w:b/>
          <w:bCs/>
          <w:lang w:val="sr-Cyrl-CS"/>
        </w:rPr>
      </w:pP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>1)</w:t>
      </w:r>
      <w:r w:rsidR="007B533A" w:rsidRPr="002F3F26">
        <w:rPr>
          <w:rFonts w:eastAsiaTheme="minorHAnsi"/>
          <w:b/>
          <w:bCs/>
        </w:rPr>
        <w:t xml:space="preserve"> </w:t>
      </w:r>
      <w:r w:rsidR="007B533A" w:rsidRPr="002F3F26">
        <w:rPr>
          <w:rFonts w:eastAsiaTheme="minorHAnsi"/>
          <w:bCs/>
        </w:rPr>
        <w:t xml:space="preserve">Расходе и издатке за </w:t>
      </w:r>
      <w:r w:rsidR="004D7CA8">
        <w:rPr>
          <w:rFonts w:eastAsiaTheme="minorHAnsi"/>
          <w:bCs/>
        </w:rPr>
        <w:t>2</w:t>
      </w:r>
      <w:r w:rsidR="00ED0BFD">
        <w:rPr>
          <w:rFonts w:eastAsiaTheme="minorHAnsi"/>
          <w:bCs/>
        </w:rPr>
        <w:t>019</w:t>
      </w:r>
      <w:r w:rsidR="007E4E43">
        <w:rPr>
          <w:rFonts w:eastAsiaTheme="minorHAnsi"/>
          <w:bCs/>
        </w:rPr>
        <w:t>. године</w:t>
      </w:r>
      <w:r w:rsidR="007B533A" w:rsidRPr="002F3F26">
        <w:rPr>
          <w:rFonts w:eastAsiaTheme="minorHAnsi"/>
          <w:bCs/>
        </w:rPr>
        <w:t xml:space="preserve"> и две наредне године, исказане по </w:t>
      </w:r>
      <w:r w:rsidR="00D35E5D">
        <w:rPr>
          <w:rFonts w:eastAsiaTheme="minorHAnsi"/>
          <w:bCs/>
        </w:rPr>
        <w:t xml:space="preserve">економској </w:t>
      </w:r>
      <w:r w:rsidR="007B533A" w:rsidRPr="002F3F26">
        <w:rPr>
          <w:rFonts w:eastAsiaTheme="minorHAnsi"/>
          <w:bCs/>
        </w:rPr>
        <w:t>класификацији (у складу са обрасцима који су саставни део овог упутства)</w:t>
      </w:r>
      <w:r w:rsidR="007B533A" w:rsidRPr="002F3F26">
        <w:rPr>
          <w:rFonts w:eastAsiaTheme="minorHAnsi"/>
          <w:bCs/>
          <w:lang w:val="sr-Cyrl-CS"/>
        </w:rPr>
        <w:t>,</w:t>
      </w:r>
      <w:r w:rsidR="007B533A" w:rsidRPr="002F3F26">
        <w:rPr>
          <w:rFonts w:eastAsiaTheme="minorHAnsi"/>
          <w:bCs/>
        </w:rPr>
        <w:t xml:space="preserve"> као и по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програмској класификацији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>2) Детаљно писано образложење расхода и издатака, као и извора финансирања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577A2A">
        <w:rPr>
          <w:rFonts w:eastAsiaTheme="minorHAnsi"/>
          <w:bCs/>
        </w:rPr>
        <w:t>3) Детаљно писану израду</w:t>
      </w:r>
      <w:r w:rsidR="007B533A" w:rsidRPr="002F3F26">
        <w:rPr>
          <w:rFonts w:eastAsiaTheme="minorHAnsi"/>
          <w:bCs/>
        </w:rPr>
        <w:t xml:space="preserve"> програмског дела буџета</w:t>
      </w:r>
      <w:r w:rsidR="007B533A" w:rsidRPr="002F3F26">
        <w:rPr>
          <w:rFonts w:eastAsiaTheme="minorHAnsi"/>
          <w:bCs/>
          <w:lang w:val="sr-Cyrl-CS"/>
        </w:rPr>
        <w:t>;</w:t>
      </w:r>
    </w:p>
    <w:p w:rsidR="007B533A" w:rsidRPr="002F3F26" w:rsidRDefault="000E1C39" w:rsidP="008730A0">
      <w:pPr>
        <w:autoSpaceDE w:val="0"/>
        <w:autoSpaceDN w:val="0"/>
        <w:adjustRightInd w:val="0"/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>4) Предлог капиталних пројеката (по обрасцу који је саставни део овог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упутства)</w:t>
      </w:r>
      <w:r w:rsidR="007B533A" w:rsidRPr="002F3F26">
        <w:rPr>
          <w:rFonts w:eastAsiaTheme="minorHAnsi"/>
          <w:bCs/>
          <w:lang w:val="sr-Cyrl-CS"/>
        </w:rPr>
        <w:t>;</w:t>
      </w:r>
    </w:p>
    <w:p w:rsidR="00007101" w:rsidRDefault="000E1C39" w:rsidP="008730A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</w:rPr>
        <w:tab/>
      </w:r>
      <w:r w:rsidR="007B533A" w:rsidRPr="002F3F26">
        <w:rPr>
          <w:rFonts w:eastAsiaTheme="minorHAnsi"/>
          <w:bCs/>
        </w:rPr>
        <w:t xml:space="preserve">5) Предлог </w:t>
      </w:r>
      <w:r w:rsidR="00C35798">
        <w:rPr>
          <w:rFonts w:eastAsiaTheme="minorHAnsi"/>
          <w:bCs/>
        </w:rPr>
        <w:t>проје</w:t>
      </w:r>
      <w:r w:rsidR="007B533A" w:rsidRPr="002F3F26">
        <w:rPr>
          <w:rFonts w:eastAsiaTheme="minorHAnsi"/>
          <w:bCs/>
        </w:rPr>
        <w:t>ката развојне по</w:t>
      </w:r>
      <w:r w:rsidR="00ED0BFD">
        <w:rPr>
          <w:rFonts w:eastAsiaTheme="minorHAnsi"/>
          <w:bCs/>
        </w:rPr>
        <w:t>моћи ЕУ који се планирају у 2019</w:t>
      </w:r>
      <w:r w:rsidR="007B533A" w:rsidRPr="002F3F26">
        <w:rPr>
          <w:rFonts w:eastAsiaTheme="minorHAnsi"/>
          <w:bCs/>
        </w:rPr>
        <w:t>.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г</w:t>
      </w:r>
      <w:r w:rsidR="007B533A" w:rsidRPr="002F3F26">
        <w:rPr>
          <w:rFonts w:eastAsiaTheme="minorHAnsi"/>
          <w:bCs/>
          <w:lang w:val="sr-Cyrl-CS"/>
        </w:rPr>
        <w:t>одини</w:t>
      </w:r>
      <w:r w:rsidR="007B533A" w:rsidRPr="002F3F26">
        <w:rPr>
          <w:rFonts w:eastAsiaTheme="minorHAnsi"/>
          <w:bCs/>
        </w:rPr>
        <w:t>, односно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пројекти који ће бити реализовани у 201</w:t>
      </w:r>
      <w:r w:rsidR="00ED0BFD">
        <w:rPr>
          <w:rFonts w:eastAsiaTheme="minorHAnsi"/>
          <w:bCs/>
        </w:rPr>
        <w:t>9</w:t>
      </w:r>
      <w:r w:rsidR="007B533A" w:rsidRPr="002F3F26">
        <w:rPr>
          <w:rFonts w:eastAsiaTheme="minorHAnsi"/>
          <w:bCs/>
        </w:rPr>
        <w:t>. г</w:t>
      </w:r>
      <w:r w:rsidR="007B533A" w:rsidRPr="002F3F26">
        <w:rPr>
          <w:rFonts w:eastAsiaTheme="minorHAnsi"/>
          <w:bCs/>
          <w:lang w:val="sr-Cyrl-CS"/>
        </w:rPr>
        <w:t>одини</w:t>
      </w:r>
      <w:r w:rsidR="007B533A" w:rsidRPr="002F3F26">
        <w:rPr>
          <w:rFonts w:eastAsiaTheme="minorHAnsi"/>
          <w:bCs/>
        </w:rPr>
        <w:t xml:space="preserve"> и две наредне године (предлог доставити у</w:t>
      </w:r>
      <w:r w:rsidR="007B533A" w:rsidRPr="002F3F26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слободној форми са следећим обавезним елементима: назив пројекта, циљ пројекта,</w:t>
      </w:r>
      <w:r w:rsidR="00D35E5D">
        <w:rPr>
          <w:rFonts w:eastAsiaTheme="minorHAnsi"/>
          <w:bCs/>
          <w:lang w:val="sr-Cyrl-CS"/>
        </w:rPr>
        <w:t xml:space="preserve"> </w:t>
      </w:r>
      <w:r w:rsidR="007B533A" w:rsidRPr="002F3F26">
        <w:rPr>
          <w:rFonts w:eastAsiaTheme="minorHAnsi"/>
          <w:bCs/>
        </w:rPr>
        <w:t>опис пројекта, буџет пројекта, финансијско учешће у пројекту, рокови почетка изавршетка пројекта, носилац</w:t>
      </w:r>
      <w:r w:rsidR="007B533A" w:rsidRPr="002F3F26">
        <w:rPr>
          <w:rFonts w:eastAsiaTheme="minorHAnsi"/>
          <w:b/>
          <w:bCs/>
        </w:rPr>
        <w:t xml:space="preserve"> </w:t>
      </w:r>
      <w:r w:rsidR="007B533A" w:rsidRPr="002F3F26">
        <w:rPr>
          <w:rFonts w:eastAsiaTheme="minorHAnsi"/>
          <w:bCs/>
        </w:rPr>
        <w:t>пројекта и партнери)</w:t>
      </w:r>
      <w:r w:rsidR="0026684F">
        <w:rPr>
          <w:rFonts w:eastAsiaTheme="minorHAnsi"/>
          <w:bCs/>
          <w:lang w:val="sr-Cyrl-CS"/>
        </w:rPr>
        <w:t>;</w:t>
      </w:r>
    </w:p>
    <w:p w:rsidR="0026684F" w:rsidRPr="006A1C70" w:rsidRDefault="000E1C39" w:rsidP="008730A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</w:rPr>
        <w:tab/>
      </w:r>
      <w:r w:rsidR="0026684F">
        <w:rPr>
          <w:rFonts w:eastAsiaTheme="minorHAnsi"/>
          <w:bCs/>
          <w:lang w:val="sr-Cyrl-CS"/>
        </w:rPr>
        <w:t xml:space="preserve">6) </w:t>
      </w:r>
      <w:r w:rsidR="0026684F" w:rsidRPr="006A1C70">
        <w:rPr>
          <w:b/>
          <w:u w:val="single"/>
        </w:rPr>
        <w:t xml:space="preserve">извештај о учинку програма за првих шест месеци </w:t>
      </w:r>
      <w:r w:rsidR="00ED0BFD">
        <w:rPr>
          <w:b/>
          <w:u w:val="single"/>
        </w:rPr>
        <w:t>2018</w:t>
      </w:r>
      <w:r w:rsidR="00D35E5D" w:rsidRPr="006A1C70">
        <w:rPr>
          <w:b/>
          <w:u w:val="single"/>
        </w:rPr>
        <w:t xml:space="preserve">. </w:t>
      </w:r>
      <w:r w:rsidR="0026684F" w:rsidRPr="006A1C70">
        <w:rPr>
          <w:b/>
          <w:u w:val="single"/>
        </w:rPr>
        <w:t>године</w:t>
      </w:r>
      <w:r w:rsidR="0026684F" w:rsidRPr="006A1C70">
        <w:rPr>
          <w:b/>
        </w:rPr>
        <w:t>.</w:t>
      </w:r>
    </w:p>
    <w:p w:rsidR="00953E33" w:rsidRPr="00795F47" w:rsidRDefault="00C35798" w:rsidP="008730A0">
      <w:pPr>
        <w:pStyle w:val="normal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Предлог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  <w:lang w:val="sr-Cyrl-CS"/>
        </w:rPr>
        <w:t xml:space="preserve"> </w:t>
      </w:r>
      <w:r w:rsidR="00953E33" w:rsidRPr="00542312">
        <w:rPr>
          <w:rFonts w:ascii="Times New Roman" w:eastAsiaTheme="minorHAnsi" w:hAnsi="Times New Roman" w:cs="Times New Roman"/>
          <w:b/>
          <w:sz w:val="24"/>
          <w:szCs w:val="24"/>
        </w:rPr>
        <w:t>финансијских планова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C35798">
        <w:rPr>
          <w:rFonts w:ascii="Times New Roman" w:hAnsi="Times New Roman" w:cs="Times New Roman"/>
          <w:b/>
          <w:sz w:val="24"/>
          <w:szCs w:val="24"/>
        </w:rPr>
        <w:t>мора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47" w:rsidRPr="00795F47">
        <w:rPr>
          <w:rFonts w:ascii="Times New Roman" w:hAnsi="Times New Roman" w:cs="Times New Roman"/>
          <w:b/>
          <w:sz w:val="24"/>
          <w:szCs w:val="24"/>
        </w:rPr>
        <w:t xml:space="preserve">садржи </w:t>
      </w:r>
      <w:r w:rsidR="00953E33" w:rsidRPr="006A1C70">
        <w:rPr>
          <w:rFonts w:ascii="Times New Roman" w:hAnsi="Times New Roman" w:cs="Times New Roman"/>
          <w:b/>
          <w:sz w:val="24"/>
          <w:szCs w:val="24"/>
          <w:u w:val="single"/>
        </w:rPr>
        <w:t>образложење</w:t>
      </w:r>
      <w:r w:rsidR="00953E33" w:rsidRPr="00795F47">
        <w:rPr>
          <w:rFonts w:ascii="Times New Roman" w:hAnsi="Times New Roman" w:cs="Times New Roman"/>
          <w:b/>
          <w:sz w:val="24"/>
          <w:szCs w:val="24"/>
        </w:rPr>
        <w:t xml:space="preserve"> општег дела </w:t>
      </w:r>
      <w:r w:rsidR="00795F47" w:rsidRPr="00795F47">
        <w:rPr>
          <w:rFonts w:ascii="Times New Roman" w:eastAsiaTheme="minorHAnsi" w:hAnsi="Times New Roman" w:cs="Times New Roman"/>
          <w:b/>
          <w:sz w:val="24"/>
          <w:szCs w:val="24"/>
        </w:rPr>
        <w:t>финансијског плана и</w:t>
      </w:r>
      <w:r w:rsidR="00953E33" w:rsidRPr="00795F47">
        <w:rPr>
          <w:rFonts w:ascii="Times New Roman" w:hAnsi="Times New Roman" w:cs="Times New Roman"/>
          <w:b/>
          <w:sz w:val="24"/>
          <w:szCs w:val="24"/>
        </w:rPr>
        <w:t xml:space="preserve"> програмске информације.</w:t>
      </w:r>
    </w:p>
    <w:p w:rsidR="00BE6FDF" w:rsidRPr="00453CD1" w:rsidRDefault="00953E33" w:rsidP="008730A0">
      <w:pPr>
        <w:pStyle w:val="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Чланом 28. </w:t>
      </w:r>
      <w:r w:rsidR="00542312" w:rsidRPr="00542312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542312">
        <w:rPr>
          <w:rFonts w:ascii="Times New Roman" w:hAnsi="Times New Roman" w:cs="Times New Roman"/>
          <w:sz w:val="24"/>
          <w:szCs w:val="24"/>
        </w:rPr>
        <w:t>а</w:t>
      </w:r>
      <w:r w:rsidR="00542312" w:rsidRPr="00542312">
        <w:rPr>
          <w:rFonts w:ascii="Times New Roman" w:hAnsi="Times New Roman" w:cs="Times New Roman"/>
          <w:sz w:val="24"/>
          <w:szCs w:val="24"/>
          <w:lang w:val="ru-RU"/>
        </w:rPr>
        <w:t xml:space="preserve"> о буџетском систему </w:t>
      </w:r>
      <w:r w:rsidR="00542312" w:rsidRPr="00542312">
        <w:rPr>
          <w:rFonts w:ascii="Times New Roman" w:hAnsi="Times New Roman" w:cs="Times New Roman"/>
          <w:sz w:val="24"/>
          <w:szCs w:val="24"/>
        </w:rPr>
        <w:t>систему</w:t>
      </w:r>
      <w:r w:rsidR="00542312">
        <w:rPr>
          <w:rFonts w:ascii="Times New Roman" w:hAnsi="Times New Roman" w:cs="Times New Roman"/>
          <w:sz w:val="24"/>
          <w:szCs w:val="24"/>
        </w:rPr>
        <w:t xml:space="preserve"> дефинисано је да „</w:t>
      </w:r>
      <w:r w:rsidRPr="00542312">
        <w:rPr>
          <w:rFonts w:ascii="Times New Roman" w:hAnsi="Times New Roman" w:cs="Times New Roman"/>
          <w:b/>
          <w:sz w:val="24"/>
          <w:szCs w:val="24"/>
        </w:rPr>
        <w:t>Програмске информације</w:t>
      </w:r>
      <w:r w:rsidRPr="00953E33">
        <w:rPr>
          <w:rFonts w:ascii="Times New Roman" w:hAnsi="Times New Roman" w:cs="Times New Roman"/>
          <w:sz w:val="24"/>
          <w:szCs w:val="24"/>
        </w:rPr>
        <w:t xml:space="preserve"> из става 5. тачка 2) овог члана садрже описе програма, програмских активности и пројеката корисника буџетских средстава, циљеве који се желе постићи у средњорочном периоду спровођењем програма, програмских активности и пројеката, као и показатеље учинка за праћење постизања наведених циљева. </w:t>
      </w:r>
    </w:p>
    <w:p w:rsidR="00785C22" w:rsidRPr="00785C22" w:rsidRDefault="00832EA6" w:rsidP="00832EA6">
      <w:pPr>
        <w:pStyle w:val="Default"/>
        <w:jc w:val="both"/>
      </w:pPr>
      <w:r>
        <w:tab/>
      </w:r>
      <w:r w:rsidR="00007101" w:rsidRPr="00785C22">
        <w:t xml:space="preserve">Упућујемо кориснике буџета Општине </w:t>
      </w:r>
      <w:r w:rsidR="00991DC3" w:rsidRPr="00785C22">
        <w:rPr>
          <w:lang w:val="sr-Cyrl-CS"/>
        </w:rPr>
        <w:t>Горњи Милановац</w:t>
      </w:r>
      <w:r w:rsidR="00007101" w:rsidRPr="00785C22">
        <w:t xml:space="preserve"> да се </w:t>
      </w:r>
      <w:r w:rsidR="00785C22" w:rsidRPr="00785C22">
        <w:t xml:space="preserve">Упутство за припрему програмског буџета </w:t>
      </w:r>
      <w:r>
        <w:t xml:space="preserve">као и прилог 1 - </w:t>
      </w:r>
      <w:r w:rsidRPr="00B37D05">
        <w:t xml:space="preserve">Преглед броја запослених и средстава за плате (са припадајућим табелама) </w:t>
      </w:r>
      <w:r>
        <w:t xml:space="preserve">и прилог 2 - </w:t>
      </w:r>
      <w:r w:rsidRPr="003854AC">
        <w:t>Преглед капиталних пројеката (са припадајућим табелама)</w:t>
      </w:r>
      <w:r>
        <w:rPr>
          <w:sz w:val="23"/>
          <w:szCs w:val="23"/>
        </w:rPr>
        <w:t xml:space="preserve"> </w:t>
      </w:r>
      <w:r w:rsidRPr="00B37D05">
        <w:rPr>
          <w:lang w:val="sr-Cyrl-CS"/>
        </w:rPr>
        <w:t xml:space="preserve"> за период од</w:t>
      </w:r>
      <w:r w:rsidRPr="00B37D05">
        <w:t xml:space="preserve"> 2019 - 2021. </w:t>
      </w:r>
      <w:r>
        <w:t>г</w:t>
      </w:r>
      <w:r w:rsidRPr="00B37D05">
        <w:t>одине</w:t>
      </w:r>
      <w:r>
        <w:t xml:space="preserve"> </w:t>
      </w:r>
      <w:r w:rsidR="00785C22" w:rsidRPr="00785C22">
        <w:t xml:space="preserve">се може наћи на сајту Министарства финансија </w:t>
      </w:r>
      <w:r w:rsidR="00785C22" w:rsidRPr="004E42A2">
        <w:rPr>
          <w:b/>
        </w:rPr>
        <w:t>(www.mfin.gov.rs),</w:t>
      </w:r>
      <w:r w:rsidR="00785C22" w:rsidRPr="00785C22">
        <w:t xml:space="preserve"> као и на сајту </w:t>
      </w:r>
      <w:r w:rsidR="00785C22" w:rsidRPr="004E42A2">
        <w:rPr>
          <w:b/>
        </w:rPr>
        <w:t>СКГО (www.skgo.org).</w:t>
      </w:r>
      <w:r w:rsidR="00785C22" w:rsidRPr="00785C22">
        <w:t xml:space="preserve"> </w:t>
      </w:r>
    </w:p>
    <w:p w:rsidR="00453CD1" w:rsidRDefault="00007101" w:rsidP="008730A0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785C22">
        <w:rPr>
          <w:rFonts w:eastAsiaTheme="minorHAnsi"/>
        </w:rPr>
        <w:t xml:space="preserve">Нарочито је потребно обратити пажњу на </w:t>
      </w:r>
      <w:r w:rsidRPr="006A1C70">
        <w:rPr>
          <w:rFonts w:eastAsiaTheme="minorHAnsi"/>
          <w:b/>
          <w:u w:val="single"/>
        </w:rPr>
        <w:t>шифарник</w:t>
      </w:r>
      <w:r w:rsidRPr="00785C22">
        <w:rPr>
          <w:rFonts w:eastAsiaTheme="minorHAnsi"/>
        </w:rPr>
        <w:t xml:space="preserve"> програма, програмских активности ипројеката који су дати у прилогу </w:t>
      </w:r>
      <w:r w:rsidR="00991DC3" w:rsidRPr="00785C22">
        <w:rPr>
          <w:rFonts w:eastAsiaTheme="minorHAnsi"/>
          <w:lang w:val="sr-Cyrl-CS"/>
        </w:rPr>
        <w:t>т</w:t>
      </w:r>
      <w:r w:rsidRPr="00785C22">
        <w:rPr>
          <w:rFonts w:eastAsiaTheme="minorHAnsi"/>
        </w:rPr>
        <w:t>ог упутства</w:t>
      </w:r>
      <w:r w:rsidR="00991DC3" w:rsidRPr="00785C22">
        <w:rPr>
          <w:rFonts w:eastAsiaTheme="minorHAnsi"/>
          <w:lang w:val="sr-Cyrl-CS"/>
        </w:rPr>
        <w:t>.</w:t>
      </w:r>
      <w:r w:rsidR="00453CD1" w:rsidRPr="00453CD1">
        <w:rPr>
          <w:rFonts w:eastAsiaTheme="minorHAnsi"/>
        </w:rPr>
        <w:t xml:space="preserve"> </w:t>
      </w:r>
    </w:p>
    <w:p w:rsidR="007B533A" w:rsidRPr="00785C22" w:rsidRDefault="007B533A" w:rsidP="008730A0">
      <w:pPr>
        <w:jc w:val="both"/>
        <w:rPr>
          <w:lang w:val="sr-Cyrl-CS"/>
        </w:rPr>
      </w:pPr>
    </w:p>
    <w:p w:rsidR="00944D27" w:rsidRPr="00153DF9" w:rsidRDefault="00FF2232" w:rsidP="003854AC">
      <w:pPr>
        <w:spacing w:after="120"/>
        <w:ind w:firstLine="360"/>
        <w:jc w:val="both"/>
        <w:rPr>
          <w:b/>
        </w:rPr>
      </w:pPr>
      <w:r w:rsidRPr="00153DF9">
        <w:rPr>
          <w:b/>
          <w:lang w:val="sr-Cyrl-CS"/>
        </w:rPr>
        <w:t>Предлог финансијс</w:t>
      </w:r>
      <w:r w:rsidR="006941DF" w:rsidRPr="00153DF9">
        <w:rPr>
          <w:b/>
          <w:lang w:val="sr-Cyrl-CS"/>
        </w:rPr>
        <w:t>ких планова б</w:t>
      </w:r>
      <w:r w:rsidRPr="00153DF9">
        <w:rPr>
          <w:b/>
          <w:lang w:val="sr-Cyrl-CS"/>
        </w:rPr>
        <w:t>уџетских корисника</w:t>
      </w:r>
      <w:r w:rsidR="00B64876" w:rsidRPr="00153DF9">
        <w:rPr>
          <w:b/>
          <w:lang w:val="sr-Cyrl-CS"/>
        </w:rPr>
        <w:t xml:space="preserve"> за 201</w:t>
      </w:r>
      <w:r w:rsidR="00B64876" w:rsidRPr="00153DF9">
        <w:rPr>
          <w:b/>
        </w:rPr>
        <w:t>9</w:t>
      </w:r>
      <w:r w:rsidR="00125FD0" w:rsidRPr="00153DF9">
        <w:rPr>
          <w:b/>
          <w:lang w:val="sr-Cyrl-CS"/>
        </w:rPr>
        <w:t>. годину</w:t>
      </w:r>
      <w:r w:rsidRPr="00153DF9">
        <w:rPr>
          <w:b/>
          <w:lang w:val="sr-Cyrl-CS"/>
        </w:rPr>
        <w:t xml:space="preserve"> </w:t>
      </w:r>
      <w:r w:rsidR="00F63AA1" w:rsidRPr="00153DF9">
        <w:rPr>
          <w:b/>
          <w:lang w:val="sr-Cyrl-CS"/>
        </w:rPr>
        <w:t xml:space="preserve">садржи </w:t>
      </w:r>
      <w:r w:rsidR="006941DF" w:rsidRPr="00153DF9">
        <w:rPr>
          <w:b/>
          <w:lang w:val="sr-Cyrl-CS"/>
        </w:rPr>
        <w:t>следеће</w:t>
      </w:r>
      <w:r w:rsidR="00F63AA1" w:rsidRPr="00153DF9">
        <w:rPr>
          <w:b/>
          <w:lang w:val="sr-Cyrl-CS"/>
        </w:rPr>
        <w:t xml:space="preserve"> табеле</w:t>
      </w:r>
      <w:r w:rsidR="00985FD8" w:rsidRPr="00153DF9">
        <w:rPr>
          <w:b/>
          <w:lang w:val="sr-Cyrl-CS"/>
        </w:rPr>
        <w:t xml:space="preserve"> и обрасце</w:t>
      </w:r>
      <w:r w:rsidRPr="00153DF9">
        <w:rPr>
          <w:b/>
          <w:lang w:val="sr-Cyrl-CS"/>
        </w:rPr>
        <w:t>:</w:t>
      </w:r>
    </w:p>
    <w:p w:rsidR="00346234" w:rsidRPr="00490298" w:rsidRDefault="00035784" w:rsidP="003854AC">
      <w:pPr>
        <w:ind w:left="720"/>
        <w:jc w:val="both"/>
        <w:rPr>
          <w:bCs/>
          <w:lang w:val="sr-Cyrl-CS"/>
        </w:rPr>
      </w:pPr>
      <w:r>
        <w:rPr>
          <w:bCs/>
        </w:rPr>
        <w:t>-</w:t>
      </w:r>
      <w:r w:rsidR="00920B8D" w:rsidRPr="00490298">
        <w:rPr>
          <w:bCs/>
          <w:lang w:val="sr-Cyrl-CS"/>
        </w:rPr>
        <w:t xml:space="preserve"> </w:t>
      </w:r>
      <w:r w:rsidR="00466913" w:rsidRPr="00490298">
        <w:rPr>
          <w:bCs/>
          <w:lang w:val="sr-Cyrl-CS"/>
        </w:rPr>
        <w:t>Табела</w:t>
      </w:r>
      <w:r w:rsidR="00832EA6">
        <w:rPr>
          <w:bCs/>
          <w:lang w:val="sr-Cyrl-CS"/>
        </w:rPr>
        <w:t xml:space="preserve"> 1. – Програм,</w:t>
      </w:r>
    </w:p>
    <w:p w:rsidR="00346234" w:rsidRPr="00B37D05" w:rsidRDefault="00035784" w:rsidP="003854AC">
      <w:pPr>
        <w:ind w:left="720"/>
        <w:jc w:val="both"/>
        <w:rPr>
          <w:bCs/>
          <w:lang w:val="sr-Cyrl-CS"/>
        </w:rPr>
      </w:pPr>
      <w:r>
        <w:rPr>
          <w:bCs/>
        </w:rPr>
        <w:t>-</w:t>
      </w:r>
      <w:r w:rsidR="00920B8D" w:rsidRPr="00490298">
        <w:rPr>
          <w:bCs/>
          <w:lang w:val="sr-Cyrl-CS"/>
        </w:rPr>
        <w:t xml:space="preserve"> </w:t>
      </w:r>
      <w:r w:rsidR="00466913" w:rsidRPr="00B37D05">
        <w:rPr>
          <w:bCs/>
          <w:lang w:val="sr-Cyrl-CS"/>
        </w:rPr>
        <w:t>Табела</w:t>
      </w:r>
      <w:r w:rsidR="00346234" w:rsidRPr="00B37D05">
        <w:rPr>
          <w:bCs/>
          <w:lang w:val="sr-Cyrl-CS"/>
        </w:rPr>
        <w:t xml:space="preserve"> 2. - Програмска активност</w:t>
      </w:r>
      <w:r w:rsidR="00832EA6">
        <w:rPr>
          <w:bCs/>
          <w:lang w:val="sr-Cyrl-CS"/>
        </w:rPr>
        <w:t>,</w:t>
      </w:r>
      <w:r w:rsidR="00346234" w:rsidRPr="00B37D05">
        <w:rPr>
          <w:bCs/>
          <w:lang w:val="sr-Cyrl-CS"/>
        </w:rPr>
        <w:t xml:space="preserve"> </w:t>
      </w:r>
    </w:p>
    <w:p w:rsidR="00346234" w:rsidRPr="00B37D05" w:rsidRDefault="00035784" w:rsidP="003854AC">
      <w:pPr>
        <w:ind w:left="720"/>
        <w:jc w:val="both"/>
        <w:rPr>
          <w:bCs/>
          <w:lang w:val="sr-Cyrl-CS"/>
        </w:rPr>
      </w:pPr>
      <w:r w:rsidRPr="00B37D05">
        <w:rPr>
          <w:bCs/>
        </w:rPr>
        <w:t xml:space="preserve">- </w:t>
      </w:r>
      <w:r w:rsidR="00920B8D" w:rsidRPr="00B37D05">
        <w:rPr>
          <w:bCs/>
          <w:lang w:val="sr-Cyrl-CS"/>
        </w:rPr>
        <w:t xml:space="preserve"> </w:t>
      </w:r>
      <w:r w:rsidR="00466913" w:rsidRPr="00B37D05">
        <w:rPr>
          <w:bCs/>
          <w:lang w:val="sr-Cyrl-CS"/>
        </w:rPr>
        <w:t>Табела</w:t>
      </w:r>
      <w:r w:rsidR="00346234" w:rsidRPr="00B37D05">
        <w:rPr>
          <w:bCs/>
          <w:lang w:val="sr-Cyrl-CS"/>
        </w:rPr>
        <w:t xml:space="preserve"> 3. </w:t>
      </w:r>
      <w:r w:rsidR="00832EA6">
        <w:rPr>
          <w:bCs/>
          <w:lang w:val="sr-Cyrl-CS"/>
        </w:rPr>
        <w:t>–</w:t>
      </w:r>
      <w:r w:rsidR="00346234" w:rsidRPr="00B37D05">
        <w:rPr>
          <w:bCs/>
          <w:lang w:val="sr-Cyrl-CS"/>
        </w:rPr>
        <w:t xml:space="preserve"> Пројекат</w:t>
      </w:r>
      <w:r w:rsidR="00832EA6">
        <w:rPr>
          <w:bCs/>
          <w:lang w:val="sr-Cyrl-CS"/>
        </w:rPr>
        <w:t>,</w:t>
      </w:r>
    </w:p>
    <w:p w:rsidR="00C415C9" w:rsidRPr="00B37D05" w:rsidRDefault="00035784" w:rsidP="003854AC">
      <w:pPr>
        <w:spacing w:after="60"/>
        <w:ind w:left="720"/>
        <w:jc w:val="both"/>
        <w:rPr>
          <w:bCs/>
        </w:rPr>
      </w:pPr>
      <w:r w:rsidRPr="00B37D05">
        <w:rPr>
          <w:bCs/>
        </w:rPr>
        <w:t xml:space="preserve">- </w:t>
      </w:r>
      <w:r w:rsidR="00466913" w:rsidRPr="00B37D05">
        <w:rPr>
          <w:bCs/>
          <w:lang w:val="sr-Cyrl-CS"/>
        </w:rPr>
        <w:t>Табела</w:t>
      </w:r>
      <w:r w:rsidR="00346234" w:rsidRPr="00B37D05">
        <w:rPr>
          <w:bCs/>
          <w:lang w:val="sr-Cyrl-CS"/>
        </w:rPr>
        <w:t xml:space="preserve"> 4. - Захтев за додатна средства – програмска активност/пројекат</w:t>
      </w:r>
      <w:r w:rsidR="005B3D7E" w:rsidRPr="00B37D05">
        <w:rPr>
          <w:bCs/>
          <w:lang w:val="sr-Cyrl-CS"/>
        </w:rPr>
        <w:t xml:space="preserve"> са писаним образложењем за сваки појединач</w:t>
      </w:r>
      <w:r w:rsidR="00832EA6">
        <w:rPr>
          <w:bCs/>
          <w:lang w:val="sr-Cyrl-CS"/>
        </w:rPr>
        <w:t>ни захтев рашчлањено по контима,</w:t>
      </w:r>
    </w:p>
    <w:p w:rsidR="00035784" w:rsidRPr="00B37D05" w:rsidRDefault="00035784" w:rsidP="003854AC">
      <w:pPr>
        <w:pStyle w:val="Default"/>
        <w:jc w:val="both"/>
      </w:pPr>
      <w:r w:rsidRPr="00B37D05">
        <w:tab/>
        <w:t xml:space="preserve"> - Прилог 1 –</w:t>
      </w:r>
      <w:r w:rsidR="008650AF" w:rsidRPr="00B37D05">
        <w:t xml:space="preserve"> </w:t>
      </w:r>
      <w:r w:rsidRPr="00B37D05">
        <w:t>Преглед броја запослених и средстава за плате (са припадајућим табелама)</w:t>
      </w:r>
      <w:r w:rsidR="00832EA6">
        <w:t>,</w:t>
      </w:r>
      <w:r w:rsidRPr="00B37D05">
        <w:t xml:space="preserve"> </w:t>
      </w:r>
    </w:p>
    <w:p w:rsidR="00035784" w:rsidRPr="00832EA6" w:rsidRDefault="00D1014D" w:rsidP="003854AC">
      <w:pPr>
        <w:pStyle w:val="Default"/>
        <w:jc w:val="both"/>
      </w:pPr>
      <w:r>
        <w:tab/>
      </w:r>
      <w:r w:rsidR="00035784" w:rsidRPr="00B37D05">
        <w:t xml:space="preserve"> - Прилог 2 - </w:t>
      </w:r>
      <w:r w:rsidRPr="003854AC">
        <w:t>Преглед капиталних пројеката (са припадајућим табелама)</w:t>
      </w:r>
      <w:r>
        <w:rPr>
          <w:sz w:val="23"/>
          <w:szCs w:val="23"/>
        </w:rPr>
        <w:t xml:space="preserve"> </w:t>
      </w:r>
      <w:r w:rsidRPr="00B37D05">
        <w:rPr>
          <w:lang w:val="sr-Cyrl-CS"/>
        </w:rPr>
        <w:t xml:space="preserve"> </w:t>
      </w:r>
      <w:r w:rsidR="00035784" w:rsidRPr="00B37D05">
        <w:rPr>
          <w:lang w:val="sr-Cyrl-CS"/>
        </w:rPr>
        <w:t>за период од</w:t>
      </w:r>
      <w:r w:rsidR="00035784" w:rsidRPr="00B37D05">
        <w:t xml:space="preserve"> 2019 - 2021. </w:t>
      </w:r>
      <w:r w:rsidR="00832EA6">
        <w:t>г</w:t>
      </w:r>
      <w:r w:rsidR="00035784" w:rsidRPr="00B37D05">
        <w:t>одине</w:t>
      </w:r>
      <w:r w:rsidR="00832EA6">
        <w:t>,</w:t>
      </w:r>
    </w:p>
    <w:p w:rsidR="00153DF9" w:rsidRPr="00B37D05" w:rsidRDefault="00035784" w:rsidP="003854AC">
      <w:pPr>
        <w:autoSpaceDE w:val="0"/>
        <w:autoSpaceDN w:val="0"/>
        <w:adjustRightInd w:val="0"/>
        <w:ind w:left="720"/>
        <w:jc w:val="both"/>
        <w:rPr>
          <w:rFonts w:ascii="TimesNewRomanPS-BoldMT" w:eastAsiaTheme="minorHAnsi" w:hAnsi="TimesNewRomanPS-BoldMT" w:cs="TimesNewRomanPS-BoldMT"/>
          <w:bCs/>
        </w:rPr>
      </w:pPr>
      <w:r w:rsidRPr="00B37D05">
        <w:rPr>
          <w:rFonts w:ascii="TimesNewRomanPS-BoldMT" w:eastAsiaTheme="minorHAnsi" w:hAnsi="TimesNewRomanPS-BoldMT" w:cs="TimesNewRomanPS-BoldMT"/>
          <w:bCs/>
        </w:rPr>
        <w:t xml:space="preserve"> -  </w:t>
      </w:r>
      <w:r w:rsidR="00E06046" w:rsidRPr="00B37D05">
        <w:rPr>
          <w:rFonts w:ascii="TimesNewRomanPS-BoldMT" w:eastAsiaTheme="minorHAnsi" w:hAnsi="TimesNewRomanPS-BoldMT" w:cs="TimesNewRomanPS-BoldMT"/>
          <w:bCs/>
        </w:rPr>
        <w:t>Образац</w:t>
      </w:r>
      <w:r w:rsidR="00C415C9" w:rsidRPr="00B37D05">
        <w:rPr>
          <w:rFonts w:ascii="TimesNewRomanPS-BoldMT" w:eastAsiaTheme="minorHAnsi" w:hAnsi="TimesNewRomanPS-BoldMT" w:cs="TimesNewRomanPS-BoldMT"/>
          <w:bCs/>
        </w:rPr>
        <w:t xml:space="preserve"> за полугодишњи извештај о учинку програма, програмск</w:t>
      </w:r>
      <w:r w:rsidR="005B5F37" w:rsidRPr="00B37D05">
        <w:rPr>
          <w:rFonts w:ascii="TimesNewRomanPS-BoldMT" w:eastAsiaTheme="minorHAnsi" w:hAnsi="TimesNewRomanPS-BoldMT" w:cs="TimesNewRomanPS-BoldMT"/>
          <w:bCs/>
        </w:rPr>
        <w:t>е активности и пројеката за 2018</w:t>
      </w:r>
      <w:r w:rsidR="00C415C9" w:rsidRPr="00B37D05">
        <w:rPr>
          <w:rFonts w:ascii="TimesNewRomanPS-BoldMT" w:eastAsiaTheme="minorHAnsi" w:hAnsi="TimesNewRomanPS-BoldMT" w:cs="TimesNewRomanPS-BoldMT"/>
          <w:bCs/>
        </w:rPr>
        <w:t xml:space="preserve">. </w:t>
      </w:r>
      <w:r w:rsidR="00490298" w:rsidRPr="00B37D05">
        <w:rPr>
          <w:rFonts w:ascii="TimesNewRomanPS-BoldMT" w:eastAsiaTheme="minorHAnsi" w:hAnsi="TimesNewRomanPS-BoldMT" w:cs="TimesNewRomanPS-BoldMT"/>
          <w:bCs/>
        </w:rPr>
        <w:t>г</w:t>
      </w:r>
      <w:r w:rsidR="00C415C9" w:rsidRPr="00B37D05">
        <w:rPr>
          <w:rFonts w:ascii="TimesNewRomanPS-BoldMT" w:eastAsiaTheme="minorHAnsi" w:hAnsi="TimesNewRomanPS-BoldMT" w:cs="TimesNewRomanPS-BoldMT"/>
          <w:bCs/>
        </w:rPr>
        <w:t>одину</w:t>
      </w:r>
      <w:r w:rsidR="00490298" w:rsidRPr="00B37D05">
        <w:rPr>
          <w:rFonts w:ascii="TimesNewRomanPS-BoldMT" w:eastAsiaTheme="minorHAnsi" w:hAnsi="TimesNewRomanPS-BoldMT" w:cs="TimesNewRomanPS-BoldMT"/>
          <w:bCs/>
        </w:rPr>
        <w:t>.</w:t>
      </w:r>
    </w:p>
    <w:p w:rsidR="00153DF9" w:rsidRPr="00B37D05" w:rsidRDefault="00153DF9" w:rsidP="003854AC">
      <w:pPr>
        <w:autoSpaceDE w:val="0"/>
        <w:autoSpaceDN w:val="0"/>
        <w:adjustRightInd w:val="0"/>
        <w:ind w:left="720"/>
        <w:jc w:val="both"/>
        <w:rPr>
          <w:rFonts w:ascii="TimesNewRomanPS-BoldMT" w:eastAsiaTheme="minorHAnsi" w:hAnsi="TimesNewRomanPS-BoldMT" w:cs="TimesNewRomanPS-BoldMT"/>
          <w:bCs/>
        </w:rPr>
      </w:pPr>
    </w:p>
    <w:p w:rsidR="00153DF9" w:rsidRPr="00153DF9" w:rsidRDefault="00490298" w:rsidP="00153DF9">
      <w:pPr>
        <w:autoSpaceDE w:val="0"/>
        <w:autoSpaceDN w:val="0"/>
        <w:adjustRightInd w:val="0"/>
        <w:ind w:left="720"/>
        <w:jc w:val="both"/>
        <w:rPr>
          <w:rFonts w:ascii="TimesNewRomanPS-BoldMT" w:eastAsiaTheme="minorHAnsi" w:hAnsi="TimesNewRomanPS-BoldMT" w:cs="TimesNewRomanPS-BoldMT"/>
          <w:bCs/>
        </w:rPr>
      </w:pPr>
      <w:r>
        <w:rPr>
          <w:b/>
          <w:bCs/>
          <w:lang w:val="sr-Cyrl-CS"/>
        </w:rPr>
        <w:t xml:space="preserve"> </w:t>
      </w:r>
      <w:r w:rsidR="00153DF9" w:rsidRPr="002F3F26">
        <w:rPr>
          <w:b/>
          <w:lang w:val="sr-Cyrl-CS"/>
        </w:rPr>
        <w:t>Напомене везане за попуњавање табел</w:t>
      </w:r>
      <w:r w:rsidR="00153DF9" w:rsidRPr="002F3F26">
        <w:rPr>
          <w:b/>
          <w:lang w:val="en-GB"/>
        </w:rPr>
        <w:t>a</w:t>
      </w:r>
      <w:r w:rsidR="00153DF9" w:rsidRPr="002F3F26">
        <w:rPr>
          <w:b/>
          <w:lang w:val="sr-Cyrl-CS"/>
        </w:rPr>
        <w:t>:</w:t>
      </w:r>
    </w:p>
    <w:p w:rsidR="00153DF9" w:rsidRPr="002F3F26" w:rsidRDefault="00153DF9" w:rsidP="00153DF9">
      <w:pPr>
        <w:ind w:firstLine="720"/>
        <w:jc w:val="both"/>
        <w:rPr>
          <w:b/>
          <w:lang w:val="sr-Cyrl-CS"/>
        </w:rPr>
      </w:pPr>
    </w:p>
    <w:p w:rsidR="00153DF9" w:rsidRPr="002F3F26" w:rsidRDefault="00153DF9" w:rsidP="00153DF9">
      <w:pPr>
        <w:numPr>
          <w:ilvl w:val="0"/>
          <w:numId w:val="4"/>
        </w:numPr>
        <w:jc w:val="both"/>
        <w:rPr>
          <w:lang w:val="sr-Cyrl-CS"/>
        </w:rPr>
      </w:pPr>
      <w:r w:rsidRPr="002F3F26">
        <w:rPr>
          <w:lang w:val="sr-Cyrl-CS"/>
        </w:rPr>
        <w:t>Табеле се достављају у штампаном облику, са печатом и потписом функционера буџетског корисника;</w:t>
      </w:r>
    </w:p>
    <w:p w:rsidR="00153DF9" w:rsidRPr="002F3F26" w:rsidRDefault="00153DF9" w:rsidP="00153DF9">
      <w:pPr>
        <w:numPr>
          <w:ilvl w:val="0"/>
          <w:numId w:val="4"/>
        </w:numPr>
        <w:jc w:val="both"/>
        <w:rPr>
          <w:lang w:val="sr-Cyrl-CS"/>
        </w:rPr>
      </w:pPr>
      <w:r w:rsidRPr="002F3F26">
        <w:rPr>
          <w:lang w:val="sr-Cyrl-CS"/>
        </w:rPr>
        <w:t>У табелама се попуњавају само бела поља;</w:t>
      </w:r>
    </w:p>
    <w:p w:rsidR="00153DF9" w:rsidRPr="002F3F26" w:rsidRDefault="00153DF9" w:rsidP="00153DF9">
      <w:pPr>
        <w:numPr>
          <w:ilvl w:val="0"/>
          <w:numId w:val="3"/>
        </w:numPr>
        <w:jc w:val="both"/>
        <w:rPr>
          <w:lang w:val="sr-Cyrl-CS"/>
        </w:rPr>
      </w:pPr>
      <w:r w:rsidRPr="002F3F26">
        <w:rPr>
          <w:lang w:val="sr-Cyrl-CS"/>
        </w:rPr>
        <w:t xml:space="preserve">Не уносе се зарези, односно тачке, с обзиром да су поља форматирана тако да се ови сепаратори аутоматски додељују по уношењу цифре. </w:t>
      </w:r>
    </w:p>
    <w:p w:rsidR="00F26329" w:rsidRPr="00C41B02" w:rsidRDefault="00F26329" w:rsidP="00F26329">
      <w:pPr>
        <w:spacing w:after="60"/>
        <w:ind w:left="720"/>
        <w:jc w:val="both"/>
        <w:rPr>
          <w:b/>
          <w:bCs/>
        </w:rPr>
      </w:pPr>
    </w:p>
    <w:p w:rsidR="00F26329" w:rsidRPr="00EB689C" w:rsidRDefault="00F26329" w:rsidP="00C41B02">
      <w:pPr>
        <w:spacing w:after="60"/>
        <w:ind w:left="720"/>
        <w:jc w:val="both"/>
        <w:rPr>
          <w:bCs/>
        </w:rPr>
      </w:pPr>
      <w:r w:rsidRPr="00EB689C">
        <w:rPr>
          <w:bCs/>
          <w:lang w:val="sr-Cyrl-CS"/>
        </w:rPr>
        <w:t>Табела 1. - Програм</w:t>
      </w:r>
    </w:p>
    <w:p w:rsidR="00F26329" w:rsidRPr="00F26329" w:rsidRDefault="00F26329" w:rsidP="00C41B02">
      <w:pPr>
        <w:spacing w:before="360" w:after="180"/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r w:rsidRPr="00F26329">
        <w:rPr>
          <w:bCs/>
          <w:lang w:val="sr-Cyrl-CS"/>
        </w:rPr>
        <w:t>Овај образац попуњава директни буџетски корисник</w:t>
      </w:r>
      <w:r>
        <w:rPr>
          <w:bCs/>
          <w:lang w:val="sr-Cyrl-CS"/>
        </w:rPr>
        <w:t>.</w:t>
      </w:r>
      <w:r w:rsidRPr="00F26329">
        <w:rPr>
          <w:bCs/>
          <w:lang w:val="sr-Cyrl-CS"/>
        </w:rPr>
        <w:t xml:space="preserve"> Циљеве, индикаторе, листу програмских активности/пројеката и изворе финансирања програма дефинише надлежни директи буџетски корисник, на основу достављених предлога програмских активности и пројеката од стране индиректних буџетских корисника.  </w:t>
      </w:r>
    </w:p>
    <w:p w:rsidR="00F26329" w:rsidRPr="00EB689C" w:rsidRDefault="00F26329" w:rsidP="00C41B02">
      <w:pPr>
        <w:spacing w:before="360" w:after="180"/>
        <w:ind w:left="567"/>
        <w:rPr>
          <w:bCs/>
          <w:lang w:val="sr-Cyrl-CS"/>
        </w:rPr>
      </w:pPr>
      <w:r>
        <w:rPr>
          <w:b/>
          <w:bCs/>
        </w:rPr>
        <w:tab/>
      </w:r>
      <w:r w:rsidRPr="00EB689C">
        <w:rPr>
          <w:bCs/>
        </w:rPr>
        <w:t>Taб</w:t>
      </w:r>
      <w:r w:rsidRPr="00EB689C">
        <w:rPr>
          <w:bCs/>
          <w:lang w:val="sr-Cyrl-CS"/>
        </w:rPr>
        <w:t>ела 2. – Програмска активност</w:t>
      </w:r>
    </w:p>
    <w:p w:rsidR="00F26329" w:rsidRPr="00130D51" w:rsidRDefault="00F26329" w:rsidP="004952E7">
      <w:pPr>
        <w:jc w:val="both"/>
        <w:rPr>
          <w:lang w:val="sr-Cyrl-CS"/>
        </w:rPr>
      </w:pPr>
      <w:r>
        <w:rPr>
          <w:lang w:val="sr-Cyrl-CS"/>
        </w:rPr>
        <w:tab/>
      </w:r>
      <w:r w:rsidRPr="00130D51">
        <w:rPr>
          <w:lang w:val="sr-Cyrl-CS"/>
        </w:rPr>
        <w:t xml:space="preserve">Овај образац попуњавају сви индиректни буџетски корисници и службе у оквиру </w:t>
      </w:r>
      <w:r w:rsidR="004952E7">
        <w:t xml:space="preserve">Општинске </w:t>
      </w:r>
      <w:r w:rsidRPr="00130D51">
        <w:rPr>
          <w:lang w:val="sr-Cyrl-CS"/>
        </w:rPr>
        <w:t xml:space="preserve"> управе које директно реализују програмске акти</w:t>
      </w:r>
      <w:r w:rsidR="004952E7">
        <w:rPr>
          <w:lang w:val="sr-Cyrl-CS"/>
        </w:rPr>
        <w:t>вности дефинисане у процесу при</w:t>
      </w:r>
      <w:r w:rsidR="00AA0008">
        <w:rPr>
          <w:lang w:val="sr-Cyrl-CS"/>
        </w:rPr>
        <w:t>преме буџета за 201</w:t>
      </w:r>
      <w:r w:rsidR="00AA0008">
        <w:t>8</w:t>
      </w:r>
      <w:r w:rsidRPr="00130D51">
        <w:rPr>
          <w:lang w:val="sr-Cyrl-CS"/>
        </w:rPr>
        <w:t xml:space="preserve">. годину.  </w:t>
      </w:r>
    </w:p>
    <w:p w:rsidR="000453B6" w:rsidRDefault="000453B6" w:rsidP="00C41B02">
      <w:pPr>
        <w:rPr>
          <w:b/>
          <w:lang w:val="sr-Cyrl-CS"/>
        </w:rPr>
      </w:pPr>
      <w:r>
        <w:rPr>
          <w:b/>
          <w:lang w:val="sr-Cyrl-CS"/>
        </w:rPr>
        <w:tab/>
      </w:r>
    </w:p>
    <w:p w:rsidR="000453B6" w:rsidRPr="000453B6" w:rsidRDefault="000453B6" w:rsidP="00C41B02">
      <w:r>
        <w:rPr>
          <w:b/>
          <w:lang w:val="sr-Cyrl-CS"/>
        </w:rPr>
        <w:lastRenderedPageBreak/>
        <w:tab/>
      </w:r>
      <w:r w:rsidRPr="000453B6">
        <w:rPr>
          <w:lang w:val="sr-Cyrl-CS"/>
        </w:rPr>
        <w:t>Табела 3 - Пројекат</w:t>
      </w:r>
    </w:p>
    <w:p w:rsidR="000453B6" w:rsidRPr="00130D51" w:rsidRDefault="000453B6" w:rsidP="00C41B02">
      <w:pPr>
        <w:rPr>
          <w:b/>
        </w:rPr>
      </w:pPr>
    </w:p>
    <w:p w:rsidR="00F26329" w:rsidRDefault="000453B6" w:rsidP="00C41B02">
      <w:pPr>
        <w:spacing w:after="60"/>
        <w:jc w:val="both"/>
        <w:rPr>
          <w:lang w:val="sr-Cyrl-CS"/>
        </w:rPr>
      </w:pPr>
      <w:r>
        <w:rPr>
          <w:lang w:val="sr-Cyrl-CS"/>
        </w:rPr>
        <w:tab/>
      </w:r>
      <w:r w:rsidRPr="00130D51">
        <w:rPr>
          <w:lang w:val="sr-Cyrl-CS"/>
        </w:rPr>
        <w:t>Овај образац попуњавају сви индиректни буџетски кор</w:t>
      </w:r>
      <w:r>
        <w:rPr>
          <w:lang w:val="sr-Cyrl-CS"/>
        </w:rPr>
        <w:t>исници и службе у оквиру Општинске</w:t>
      </w:r>
      <w:r w:rsidRPr="00130D51">
        <w:rPr>
          <w:lang w:val="sr-Cyrl-CS"/>
        </w:rPr>
        <w:t xml:space="preserve"> управе које директно реализују</w:t>
      </w:r>
      <w:r w:rsidRPr="00130D51">
        <w:t xml:space="preserve"> </w:t>
      </w:r>
      <w:r w:rsidRPr="00130D51">
        <w:rPr>
          <w:lang w:val="sr-Cyrl-CS"/>
        </w:rPr>
        <w:t>предложени пројекат</w:t>
      </w:r>
      <w:r>
        <w:rPr>
          <w:lang w:val="sr-Cyrl-CS"/>
        </w:rPr>
        <w:t>.</w:t>
      </w:r>
    </w:p>
    <w:p w:rsidR="000453B6" w:rsidRPr="00F26329" w:rsidRDefault="000453B6" w:rsidP="00C41B02">
      <w:pPr>
        <w:spacing w:after="60"/>
        <w:jc w:val="both"/>
        <w:rPr>
          <w:b/>
          <w:bCs/>
        </w:rPr>
      </w:pPr>
    </w:p>
    <w:p w:rsidR="00346234" w:rsidRDefault="00106117" w:rsidP="00C41B02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</w:rPr>
      </w:pPr>
      <w:r>
        <w:rPr>
          <w:rFonts w:eastAsiaTheme="minorHAnsi"/>
        </w:rPr>
        <w:t xml:space="preserve">Мора се још једном нагласити је </w:t>
      </w:r>
      <w:r w:rsidRPr="00282C3E">
        <w:rPr>
          <w:rFonts w:eastAsiaTheme="minorHAnsi"/>
        </w:rPr>
        <w:t>чланом 31. Закона</w:t>
      </w:r>
      <w:r w:rsidRPr="00282C3E">
        <w:rPr>
          <w:lang w:val="sr-Cyrl-CS"/>
        </w:rPr>
        <w:t xml:space="preserve"> о буџетском систему</w:t>
      </w:r>
      <w:r w:rsidRPr="00453CD1">
        <w:rPr>
          <w:rFonts w:eastAsiaTheme="minorHAnsi"/>
          <w:b/>
        </w:rPr>
        <w:t xml:space="preserve"> </w:t>
      </w:r>
      <w:r w:rsidRPr="00282C3E">
        <w:rPr>
          <w:rFonts w:eastAsiaTheme="minorHAnsi"/>
        </w:rPr>
        <w:t xml:space="preserve">предвиђено да </w:t>
      </w:r>
      <w:r w:rsidRPr="00282C3E">
        <w:rPr>
          <w:sz w:val="25"/>
          <w:szCs w:val="25"/>
        </w:rPr>
        <w:t>предлог финансијског плана</w:t>
      </w:r>
      <w:r w:rsidRPr="00453CD1">
        <w:rPr>
          <w:b/>
          <w:sz w:val="25"/>
          <w:szCs w:val="25"/>
        </w:rPr>
        <w:t xml:space="preserve"> </w:t>
      </w:r>
      <w:r w:rsidRPr="00282C3E">
        <w:rPr>
          <w:sz w:val="25"/>
          <w:szCs w:val="25"/>
        </w:rPr>
        <w:t>мора да</w:t>
      </w:r>
      <w:r w:rsidRPr="00453CD1">
        <w:rPr>
          <w:b/>
          <w:sz w:val="25"/>
          <w:szCs w:val="25"/>
        </w:rPr>
        <w:t xml:space="preserve"> </w:t>
      </w:r>
      <w:r w:rsidRPr="00282C3E">
        <w:rPr>
          <w:sz w:val="25"/>
          <w:szCs w:val="25"/>
        </w:rPr>
        <w:t>садржи</w:t>
      </w:r>
      <w:r w:rsidRPr="00453CD1">
        <w:rPr>
          <w:b/>
          <w:sz w:val="25"/>
          <w:szCs w:val="25"/>
        </w:rPr>
        <w:t xml:space="preserve"> извештај о учинку програма за првих шест месеци текуће године</w:t>
      </w:r>
      <w:r w:rsidR="00276159">
        <w:rPr>
          <w:b/>
          <w:sz w:val="25"/>
          <w:szCs w:val="25"/>
        </w:rPr>
        <w:t>.</w:t>
      </w:r>
    </w:p>
    <w:p w:rsidR="009D1927" w:rsidRPr="009D1927" w:rsidRDefault="009D1927" w:rsidP="00C41B02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</w:rPr>
      </w:pPr>
    </w:p>
    <w:p w:rsidR="00FF2232" w:rsidRPr="002F3F26" w:rsidRDefault="00C415C9" w:rsidP="008730A0">
      <w:pPr>
        <w:ind w:firstLine="720"/>
        <w:jc w:val="both"/>
        <w:rPr>
          <w:lang w:val="sr-Cyrl-CS"/>
        </w:rPr>
      </w:pPr>
      <w:r>
        <w:rPr>
          <w:lang w:val="sr-Cyrl-CS"/>
        </w:rPr>
        <w:t>У табели 4</w:t>
      </w:r>
      <w:r w:rsidR="00F63AA1" w:rsidRPr="002F3F26">
        <w:rPr>
          <w:lang w:val="sr-Cyrl-CS"/>
        </w:rPr>
        <w:t>. дата је могућност за исказивање з</w:t>
      </w:r>
      <w:r w:rsidR="00FF2232" w:rsidRPr="002F3F26">
        <w:rPr>
          <w:b/>
          <w:lang w:val="sr-Cyrl-CS"/>
        </w:rPr>
        <w:t>ахтев</w:t>
      </w:r>
      <w:r w:rsidR="00F63AA1" w:rsidRPr="002F3F26">
        <w:rPr>
          <w:b/>
          <w:lang w:val="sr-Cyrl-CS"/>
        </w:rPr>
        <w:t>а</w:t>
      </w:r>
      <w:r w:rsidR="00FF2232" w:rsidRPr="002F3F26">
        <w:rPr>
          <w:b/>
          <w:lang w:val="sr-Cyrl-CS"/>
        </w:rPr>
        <w:t xml:space="preserve"> за додатна средства</w:t>
      </w:r>
      <w:r w:rsidR="00FF2232" w:rsidRPr="002F3F26">
        <w:rPr>
          <w:lang w:val="sr-Cyrl-CS"/>
        </w:rPr>
        <w:t xml:space="preserve"> за текуће активности</w:t>
      </w:r>
      <w:r>
        <w:rPr>
          <w:lang w:val="sr-Cyrl-CS"/>
        </w:rPr>
        <w:t xml:space="preserve"> или нове пројекте који</w:t>
      </w:r>
      <w:r w:rsidR="002374B2">
        <w:rPr>
          <w:lang w:val="sr-Cyrl-CS"/>
        </w:rPr>
        <w:t xml:space="preserve"> не могу бити усклађени</w:t>
      </w:r>
      <w:r w:rsidR="00FF2232" w:rsidRPr="002F3F26">
        <w:rPr>
          <w:lang w:val="sr-Cyrl-CS"/>
        </w:rPr>
        <w:t xml:space="preserve"> са ограничењем средстава за текуће </w:t>
      </w:r>
      <w:r w:rsidR="002374B2">
        <w:rPr>
          <w:lang w:val="sr-Cyrl-CS"/>
        </w:rPr>
        <w:t>активности</w:t>
      </w:r>
      <w:r w:rsidR="00FF2232" w:rsidRPr="002F3F26">
        <w:rPr>
          <w:lang w:val="sr-Cyrl-CS"/>
        </w:rPr>
        <w:t>, са предлогом приоритета, које треба размот</w:t>
      </w:r>
      <w:r w:rsidR="00F63AA1" w:rsidRPr="002F3F26">
        <w:rPr>
          <w:lang w:val="sr-Cyrl-CS"/>
        </w:rPr>
        <w:t>рити у поступку доношења буџета.</w:t>
      </w:r>
    </w:p>
    <w:p w:rsidR="00780A12" w:rsidRPr="002F3F26" w:rsidRDefault="00780A12" w:rsidP="008730A0">
      <w:pPr>
        <w:jc w:val="both"/>
        <w:rPr>
          <w:lang w:val="sr-Cyrl-CS"/>
        </w:rPr>
      </w:pPr>
    </w:p>
    <w:p w:rsidR="00FF2232" w:rsidRPr="00DD3911" w:rsidRDefault="00FF2232" w:rsidP="008730A0">
      <w:pPr>
        <w:jc w:val="both"/>
        <w:rPr>
          <w:b/>
          <w:lang w:val="sr-Cyrl-CS"/>
        </w:rPr>
      </w:pPr>
      <w:r w:rsidRPr="002F3F26">
        <w:rPr>
          <w:lang w:val="sr-Cyrl-CS"/>
        </w:rPr>
        <w:tab/>
      </w:r>
      <w:r w:rsidR="00DD3911" w:rsidRPr="00DD3911">
        <w:rPr>
          <w:b/>
          <w:lang w:val="sr-Cyrl-CS"/>
        </w:rPr>
        <w:t>Захтев за додатна средства састоји</w:t>
      </w:r>
      <w:r w:rsidRPr="00DD3911">
        <w:rPr>
          <w:b/>
          <w:lang w:val="sr-Cyrl-CS"/>
        </w:rPr>
        <w:t xml:space="preserve"> се из писм</w:t>
      </w:r>
      <w:r w:rsidRPr="00DD3911">
        <w:rPr>
          <w:b/>
        </w:rPr>
        <w:t>e</w:t>
      </w:r>
      <w:r w:rsidRPr="00DD3911">
        <w:rPr>
          <w:b/>
          <w:lang w:val="sr-Cyrl-CS"/>
        </w:rPr>
        <w:t>ног објашњења и финансијског захтева.</w:t>
      </w:r>
    </w:p>
    <w:p w:rsidR="00780A12" w:rsidRPr="002F3F26" w:rsidRDefault="00780A12" w:rsidP="008730A0">
      <w:pPr>
        <w:jc w:val="both"/>
        <w:rPr>
          <w:lang w:val="sr-Cyrl-CS"/>
        </w:rPr>
      </w:pPr>
    </w:p>
    <w:p w:rsidR="00154556" w:rsidRDefault="00FF2232" w:rsidP="008730A0">
      <w:pPr>
        <w:tabs>
          <w:tab w:val="left" w:pos="1320"/>
        </w:tabs>
        <w:ind w:firstLine="720"/>
        <w:jc w:val="both"/>
        <w:rPr>
          <w:lang w:val="sr-Cyrl-CS"/>
        </w:rPr>
      </w:pPr>
      <w:r w:rsidRPr="002F3F26">
        <w:rPr>
          <w:b/>
          <w:lang w:val="sr-Cyrl-CS"/>
        </w:rPr>
        <w:t xml:space="preserve">Средства за плате </w:t>
      </w:r>
      <w:r w:rsidR="00070E29" w:rsidRPr="002F3F26">
        <w:rPr>
          <w:lang w:val="sr-Cyrl-CS"/>
        </w:rPr>
        <w:t>у 201</w:t>
      </w:r>
      <w:r w:rsidR="00B90215">
        <w:t>9</w:t>
      </w:r>
      <w:r w:rsidR="00516DA8" w:rsidRPr="002F3F26">
        <w:rPr>
          <w:lang w:val="sr-Cyrl-CS"/>
        </w:rPr>
        <w:t>. години</w:t>
      </w:r>
      <w:r w:rsidRPr="002F3F26">
        <w:rPr>
          <w:lang w:val="sr-Cyrl-CS"/>
        </w:rPr>
        <w:t xml:space="preserve"> </w:t>
      </w:r>
      <w:r w:rsidR="00F63AA1" w:rsidRPr="002F3F26">
        <w:rPr>
          <w:lang w:val="sr-Cyrl-CS"/>
        </w:rPr>
        <w:t>треба планирати</w:t>
      </w:r>
      <w:r w:rsidRPr="002F3F26">
        <w:rPr>
          <w:lang w:val="sr-Cyrl-CS"/>
        </w:rPr>
        <w:t xml:space="preserve"> </w:t>
      </w:r>
      <w:r w:rsidR="00A46BE1" w:rsidRPr="002F3F26">
        <w:rPr>
          <w:lang w:val="sr-Cyrl-CS"/>
        </w:rPr>
        <w:t xml:space="preserve">полазећи </w:t>
      </w:r>
      <w:r w:rsidR="00523D3D" w:rsidRPr="002F3F26">
        <w:rPr>
          <w:lang w:val="sr-Cyrl-CS"/>
        </w:rPr>
        <w:t xml:space="preserve">од </w:t>
      </w:r>
      <w:r w:rsidR="004C5F5A" w:rsidRPr="002F3F26">
        <w:rPr>
          <w:lang w:val="sr-Cyrl-CS"/>
        </w:rPr>
        <w:t>плат</w:t>
      </w:r>
      <w:r w:rsidR="00B90215">
        <w:rPr>
          <w:lang w:val="sr-Cyrl-CS"/>
        </w:rPr>
        <w:t>а исплаћених за јул 201</w:t>
      </w:r>
      <w:r w:rsidR="00B90215">
        <w:t>8</w:t>
      </w:r>
      <w:r w:rsidR="004C5F5A" w:rsidRPr="002F3F26">
        <w:rPr>
          <w:lang w:val="sr-Cyrl-CS"/>
        </w:rPr>
        <w:t>.</w:t>
      </w:r>
      <w:r w:rsidR="00490298">
        <w:rPr>
          <w:lang w:val="sr-Cyrl-CS"/>
        </w:rPr>
        <w:t xml:space="preserve"> </w:t>
      </w:r>
      <w:r w:rsidR="004C5F5A" w:rsidRPr="002F3F26">
        <w:rPr>
          <w:lang w:val="sr-Cyrl-CS"/>
        </w:rPr>
        <w:t>године.</w:t>
      </w:r>
      <w:r w:rsidR="00523D3D" w:rsidRPr="002F3F26">
        <w:rPr>
          <w:lang w:val="sr-Cyrl-CS"/>
        </w:rPr>
        <w:t xml:space="preserve"> </w:t>
      </w:r>
      <w:r w:rsidR="000F3757" w:rsidRPr="002F3F26">
        <w:rPr>
          <w:lang w:val="en-GB"/>
        </w:rPr>
        <w:t xml:space="preserve"> </w:t>
      </w:r>
      <w:r w:rsidRPr="002F3F26">
        <w:rPr>
          <w:lang w:val="sr-Cyrl-CS"/>
        </w:rPr>
        <w:t>Приликом утврђивањ</w:t>
      </w:r>
      <w:r w:rsidR="00B90215">
        <w:rPr>
          <w:lang w:val="sr-Cyrl-CS"/>
        </w:rPr>
        <w:t>а масе средстава за плате у 201</w:t>
      </w:r>
      <w:r w:rsidR="00B90215">
        <w:t>9</w:t>
      </w:r>
      <w:r w:rsidRPr="002F3F26">
        <w:rPr>
          <w:lang w:val="sr-Cyrl-CS"/>
        </w:rPr>
        <w:t>. години буџетски корисници треба да пођу од постојећег броја запослених.</w:t>
      </w:r>
    </w:p>
    <w:p w:rsidR="009108B8" w:rsidRPr="00DF50C5" w:rsidRDefault="009108B8" w:rsidP="008730A0">
      <w:pPr>
        <w:tabs>
          <w:tab w:val="left" w:pos="1320"/>
        </w:tabs>
        <w:autoSpaceDE w:val="0"/>
        <w:autoSpaceDN w:val="0"/>
        <w:adjustRightInd w:val="0"/>
      </w:pPr>
    </w:p>
    <w:p w:rsidR="009108B8" w:rsidRPr="002F3F26" w:rsidRDefault="009108B8" w:rsidP="008730A0">
      <w:pPr>
        <w:ind w:firstLine="720"/>
        <w:jc w:val="both"/>
        <w:rPr>
          <w:b/>
        </w:rPr>
      </w:pPr>
      <w:r w:rsidRPr="002F3F26">
        <w:rPr>
          <w:b/>
        </w:rPr>
        <w:t xml:space="preserve"> Планирање издатака капиталног пројекта</w:t>
      </w:r>
    </w:p>
    <w:p w:rsidR="009108B8" w:rsidRPr="007F28FC" w:rsidRDefault="009108B8" w:rsidP="008730A0">
      <w:pPr>
        <w:ind w:firstLine="720"/>
        <w:jc w:val="both"/>
        <w:rPr>
          <w:b/>
        </w:rPr>
      </w:pPr>
    </w:p>
    <w:p w:rsidR="009108B8" w:rsidRPr="002F3F26" w:rsidRDefault="009108B8" w:rsidP="008730A0">
      <w:pPr>
        <w:ind w:firstLine="720"/>
        <w:jc w:val="both"/>
      </w:pPr>
      <w:r w:rsidRPr="002F3F26">
        <w:t>Ради ефикаснијег планирања и припреме, поступајући у складу са законским одредбама, корисници буџетских средстава дужни су да органу надлежном за послове финансија доставе планиране капиталне пројекте за буџетску и наредне две го</w:t>
      </w:r>
      <w:r w:rsidR="004C5F5A" w:rsidRPr="002F3F26">
        <w:t>дине, приказане у табели (</w:t>
      </w:r>
      <w:r w:rsidR="004C5F5A" w:rsidRPr="00BA67F3">
        <w:t>Табел</w:t>
      </w:r>
      <w:r w:rsidR="004C5F5A" w:rsidRPr="00BA67F3">
        <w:rPr>
          <w:lang w:val="sr-Cyrl-CS"/>
        </w:rPr>
        <w:t>е</w:t>
      </w:r>
      <w:r w:rsidRPr="00BA67F3">
        <w:t xml:space="preserve"> </w:t>
      </w:r>
      <w:r w:rsidR="007F28FC" w:rsidRPr="00BA67F3">
        <w:t>6</w:t>
      </w:r>
      <w:r w:rsidRPr="00BA67F3">
        <w:t>.</w:t>
      </w:r>
      <w:r w:rsidR="002D7177" w:rsidRPr="00BA67F3">
        <w:rPr>
          <w:lang w:val="sr-Cyrl-CS"/>
        </w:rPr>
        <w:t xml:space="preserve"> и </w:t>
      </w:r>
      <w:r w:rsidR="007F28FC" w:rsidRPr="00BA67F3">
        <w:t>6</w:t>
      </w:r>
      <w:r w:rsidR="004C5F5A" w:rsidRPr="00BA67F3">
        <w:rPr>
          <w:lang w:val="sr-Cyrl-CS"/>
        </w:rPr>
        <w:t>а</w:t>
      </w:r>
      <w:r w:rsidR="004C5F5A" w:rsidRPr="002F3F26">
        <w:rPr>
          <w:lang w:val="sr-Cyrl-CS"/>
        </w:rPr>
        <w:t>.</w:t>
      </w:r>
      <w:r w:rsidRPr="002F3F26">
        <w:t xml:space="preserve"> Преглед капиталн</w:t>
      </w:r>
      <w:r w:rsidR="004C5F5A" w:rsidRPr="002F3F26">
        <w:t>их пројеката</w:t>
      </w:r>
      <w:r w:rsidR="009C5B74">
        <w:t xml:space="preserve"> који се</w:t>
      </w:r>
      <w:r w:rsidR="004C5F5A" w:rsidRPr="002F3F26">
        <w:t xml:space="preserve"> даје у Прилогу). У наведеним та</w:t>
      </w:r>
      <w:r w:rsidR="004C5F5A" w:rsidRPr="002F3F26">
        <w:rPr>
          <w:lang w:val="sr-Cyrl-CS"/>
        </w:rPr>
        <w:t>б</w:t>
      </w:r>
      <w:r w:rsidRPr="002F3F26">
        <w:t xml:space="preserve">елама, корисници су у обавези да искажу планиране издатке за капиталне пројекте  по годинама који се односе на изградњу и капитално одржавање, по контима на трећем и четвртом нивоу, и то: </w:t>
      </w:r>
    </w:p>
    <w:p w:rsidR="00642E77" w:rsidRPr="002F3F26" w:rsidRDefault="00642E77" w:rsidP="008730A0">
      <w:pPr>
        <w:ind w:firstLine="720"/>
        <w:jc w:val="both"/>
      </w:pPr>
    </w:p>
    <w:p w:rsidR="00CA2540" w:rsidRPr="002F3F26" w:rsidRDefault="009108B8" w:rsidP="008730A0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2F3F26">
        <w:t>издатке за израду пројектно-техничке документације на конту 5114 (осим уколико је иста већ израђена);</w:t>
      </w:r>
    </w:p>
    <w:p w:rsidR="00CA2540" w:rsidRPr="002F3F26" w:rsidRDefault="009108B8" w:rsidP="008730A0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2F3F26">
        <w:t>издатке за експропријацију земљишта на конту 5411;</w:t>
      </w:r>
    </w:p>
    <w:p w:rsidR="00CA2540" w:rsidRPr="002F3F26" w:rsidRDefault="009108B8" w:rsidP="008730A0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2F3F26">
        <w:t>издатке за извођење радова на изградњи, односно извођење радова на капиталном одржавању на контима 5112 и 5113;</w:t>
      </w:r>
    </w:p>
    <w:p w:rsidR="009108B8" w:rsidRPr="002F3F26" w:rsidRDefault="009108B8" w:rsidP="008730A0">
      <w:pPr>
        <w:pStyle w:val="ListParagraph"/>
        <w:numPr>
          <w:ilvl w:val="0"/>
          <w:numId w:val="13"/>
        </w:numPr>
        <w:jc w:val="both"/>
      </w:pPr>
      <w:r w:rsidRPr="002F3F26">
        <w:t xml:space="preserve">издатке за ангажовање стручног надзора на конту 5114 (осим уколико исти нису </w:t>
      </w:r>
      <w:r w:rsidR="004C5F5A" w:rsidRPr="002F3F26">
        <w:t xml:space="preserve">планирани од стране </w:t>
      </w:r>
      <w:r w:rsidR="004C5F5A" w:rsidRPr="002F3F26">
        <w:rPr>
          <w:lang w:val="sr-Cyrl-CS"/>
        </w:rPr>
        <w:t>и</w:t>
      </w:r>
      <w:r w:rsidRPr="002F3F26">
        <w:t>нвеститора или на неки други начин).</w:t>
      </w:r>
    </w:p>
    <w:p w:rsidR="00AB1596" w:rsidRPr="002F3F26" w:rsidRDefault="00AB1596" w:rsidP="008730A0">
      <w:pPr>
        <w:pStyle w:val="ListParagraph"/>
        <w:jc w:val="both"/>
      </w:pPr>
    </w:p>
    <w:p w:rsidR="009108B8" w:rsidRPr="002F3F26" w:rsidRDefault="009108B8" w:rsidP="008730A0">
      <w:pPr>
        <w:ind w:firstLine="720"/>
        <w:jc w:val="both"/>
      </w:pPr>
      <w:r w:rsidRPr="002F3F26">
        <w:t xml:space="preserve">У циљу реалног планирања издатака капиталног пројекта, неопходно је да корисници образложе тренутни статус дозвола и сагласност (локацијска, грађевинска дозвола, сагласности одговарајућих јавних предузећа) које су неопходне за почетак извођења радова. Корисници су дужни да планирају расходе, који су у вези са добијањем ових дозвола и сагласности, на одговарајућим контима. </w:t>
      </w:r>
    </w:p>
    <w:p w:rsidR="00AB1596" w:rsidRPr="002F3F26" w:rsidRDefault="00AB1596" w:rsidP="008730A0">
      <w:pPr>
        <w:ind w:firstLine="720"/>
        <w:jc w:val="both"/>
        <w:rPr>
          <w:lang w:val="sr-Cyrl-CS"/>
        </w:rPr>
      </w:pPr>
    </w:p>
    <w:p w:rsidR="009108B8" w:rsidRPr="002F3F26" w:rsidRDefault="009108B8" w:rsidP="008730A0">
      <w:pPr>
        <w:ind w:firstLine="720"/>
        <w:jc w:val="both"/>
      </w:pPr>
      <w:r w:rsidRPr="002F3F26">
        <w:t>Такође, на основу свеобухватне процене потреба, пројекте је потребно рангирати по приоритетима, у складу са усвојеним стратешким документима, водећи рачуна да приоритет у финансирању имају већ започети пројекти.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lastRenderedPageBreak/>
        <w:tab/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ab/>
        <w:t xml:space="preserve">Чланом 22. Закона о буџетском систему дефинисано је да Одлука о буџету и финансијски план директног, односно индиректног корисника буџетских средстава садржи </w:t>
      </w:r>
      <w:r w:rsidRPr="002F3F26">
        <w:rPr>
          <w:b/>
          <w:u w:val="single"/>
          <w:lang w:val="sr-Cyrl-CS"/>
        </w:rPr>
        <w:t>план сопствених прихода</w:t>
      </w:r>
      <w:r w:rsidRPr="002F3F26">
        <w:rPr>
          <w:lang w:val="sr-Cyrl-CS"/>
        </w:rPr>
        <w:t>, као и план њиховог трошења.</w:t>
      </w:r>
    </w:p>
    <w:p w:rsidR="00FF2232" w:rsidRPr="002F3F26" w:rsidRDefault="00FF2232" w:rsidP="008730A0">
      <w:pPr>
        <w:jc w:val="both"/>
        <w:rPr>
          <w:b/>
          <w:lang w:val="sr-Cyrl-CS"/>
        </w:rPr>
      </w:pPr>
    </w:p>
    <w:p w:rsidR="00FF2232" w:rsidRPr="002F3F26" w:rsidRDefault="00FF2232" w:rsidP="008730A0">
      <w:pPr>
        <w:jc w:val="both"/>
        <w:rPr>
          <w:b/>
          <w:lang w:val="sr-Cyrl-CS"/>
        </w:rPr>
      </w:pPr>
    </w:p>
    <w:p w:rsidR="00F57C53" w:rsidRDefault="00FF2232" w:rsidP="008730A0">
      <w:pPr>
        <w:ind w:firstLine="680"/>
        <w:jc w:val="both"/>
        <w:rPr>
          <w:lang w:val="sr-Cyrl-CS"/>
        </w:rPr>
      </w:pPr>
      <w:r w:rsidRPr="00935028">
        <w:rPr>
          <w:lang w:val="sr-Cyrl-CS"/>
        </w:rPr>
        <w:t>Упутство и табеле</w:t>
      </w:r>
      <w:r w:rsidR="009409DB">
        <w:rPr>
          <w:lang w:val="sr-Cyrl-CS"/>
        </w:rPr>
        <w:t xml:space="preserve"> можете преузети са</w:t>
      </w:r>
      <w:r w:rsidR="009409DB">
        <w:t xml:space="preserve"> </w:t>
      </w:r>
      <w:r w:rsidR="00E830DB">
        <w:rPr>
          <w:lang w:val="sr-Cyrl-CS"/>
        </w:rPr>
        <w:t>сајта</w:t>
      </w:r>
      <w:r w:rsidRPr="002F3F26">
        <w:rPr>
          <w:lang w:val="sr-Cyrl-CS"/>
        </w:rPr>
        <w:t xml:space="preserve"> </w:t>
      </w:r>
      <w:hyperlink r:id="rId8" w:history="1">
        <w:r w:rsidRPr="002F3F26">
          <w:rPr>
            <w:rStyle w:val="Hyperlink"/>
            <w:b/>
            <w:lang w:val="sr-Latn-CS"/>
          </w:rPr>
          <w:t>www.gornjimilanovac.rs</w:t>
        </w:r>
      </w:hyperlink>
      <w:r w:rsidRPr="002F3F26">
        <w:rPr>
          <w:lang w:val="sr-Cyrl-CS"/>
        </w:rPr>
        <w:t xml:space="preserve"> </w:t>
      </w:r>
      <w:r w:rsidR="00E830DB">
        <w:rPr>
          <w:lang w:val="sr-Cyrl-CS"/>
        </w:rPr>
        <w:t>под називом</w:t>
      </w:r>
      <w:r w:rsidR="006B38B6">
        <w:rPr>
          <w:lang w:val="sr-Cyrl-CS"/>
        </w:rPr>
        <w:t xml:space="preserve"> </w:t>
      </w:r>
      <w:r w:rsidRPr="002F3F26">
        <w:rPr>
          <w:lang w:val="sr-Cyrl-CS"/>
        </w:rPr>
        <w:t xml:space="preserve"> </w:t>
      </w:r>
      <w:r w:rsidR="00F57C53" w:rsidRPr="00935028">
        <w:rPr>
          <w:b/>
          <w:lang w:val="sr-Cyrl-CS"/>
        </w:rPr>
        <w:t>Упутство за припрему буџета општине Горњи Милановац за 20</w:t>
      </w:r>
      <w:r w:rsidR="00F57C53" w:rsidRPr="00935028">
        <w:rPr>
          <w:b/>
        </w:rPr>
        <w:t>1</w:t>
      </w:r>
      <w:r w:rsidR="00FD796A" w:rsidRPr="00935028">
        <w:rPr>
          <w:b/>
        </w:rPr>
        <w:t>9</w:t>
      </w:r>
      <w:r w:rsidR="00F57C53" w:rsidRPr="00935028">
        <w:rPr>
          <w:b/>
          <w:lang w:val="sr-Cyrl-CS"/>
        </w:rPr>
        <w:t>. годину</w:t>
      </w:r>
      <w:r w:rsidR="00F57C53">
        <w:rPr>
          <w:lang w:val="sr-Cyrl-CS"/>
        </w:rPr>
        <w:t>.</w:t>
      </w:r>
    </w:p>
    <w:p w:rsidR="0074081F" w:rsidRPr="00F57C53" w:rsidRDefault="0074081F" w:rsidP="008730A0">
      <w:pPr>
        <w:jc w:val="both"/>
        <w:rPr>
          <w:lang w:val="sr-Cyrl-CS"/>
        </w:rPr>
      </w:pPr>
    </w:p>
    <w:p w:rsidR="00FF2232" w:rsidRPr="006E24F9" w:rsidRDefault="00FF2232" w:rsidP="008730A0">
      <w:pPr>
        <w:ind w:firstLine="720"/>
        <w:jc w:val="both"/>
      </w:pPr>
      <w:r w:rsidRPr="002F3F26">
        <w:rPr>
          <w:lang w:val="sr-Cyrl-CS"/>
        </w:rPr>
        <w:t>Рок за достављање предлога финансијских планова директних и и</w:t>
      </w:r>
      <w:r w:rsidR="006E24F9">
        <w:rPr>
          <w:lang w:val="sr-Cyrl-CS"/>
        </w:rPr>
        <w:t xml:space="preserve">ндиректних корисника Одељењу за </w:t>
      </w:r>
      <w:r w:rsidR="006E24F9">
        <w:t>финансије, рачуноводство и локалну пореску администрацију</w:t>
      </w:r>
      <w:r w:rsidR="006E24F9" w:rsidRPr="002F3F26">
        <w:rPr>
          <w:lang w:val="sr-Cyrl-CS"/>
        </w:rPr>
        <w:t xml:space="preserve"> </w:t>
      </w:r>
      <w:r w:rsidRPr="002F3F26">
        <w:rPr>
          <w:lang w:val="sr-Cyrl-CS"/>
        </w:rPr>
        <w:t xml:space="preserve">је </w:t>
      </w:r>
      <w:r w:rsidR="000848E2" w:rsidRPr="002F3F26">
        <w:rPr>
          <w:b/>
          <w:lang w:val="sr-Cyrl-CS"/>
        </w:rPr>
        <w:t>1.</w:t>
      </w:r>
      <w:r w:rsidR="000F3757" w:rsidRPr="002F3F26">
        <w:rPr>
          <w:b/>
          <w:lang w:val="en-GB"/>
        </w:rPr>
        <w:t xml:space="preserve"> </w:t>
      </w:r>
      <w:r w:rsidR="00FD796A">
        <w:rPr>
          <w:b/>
          <w:lang w:val="sr-Cyrl-CS"/>
        </w:rPr>
        <w:t>септембар 201</w:t>
      </w:r>
      <w:r w:rsidR="002C16B2">
        <w:rPr>
          <w:b/>
        </w:rPr>
        <w:t>8</w:t>
      </w:r>
      <w:r w:rsidR="000848E2" w:rsidRPr="002F3F26">
        <w:rPr>
          <w:b/>
          <w:lang w:val="sr-Cyrl-CS"/>
        </w:rPr>
        <w:t>.</w:t>
      </w:r>
      <w:r w:rsidR="000F3757" w:rsidRPr="002F3F26">
        <w:rPr>
          <w:b/>
          <w:lang w:val="en-GB"/>
        </w:rPr>
        <w:t xml:space="preserve"> </w:t>
      </w:r>
      <w:r w:rsidR="000848E2" w:rsidRPr="002F3F26">
        <w:rPr>
          <w:b/>
          <w:lang w:val="sr-Cyrl-CS"/>
        </w:rPr>
        <w:t>године</w:t>
      </w:r>
      <w:r w:rsidR="000F3757" w:rsidRPr="002F3F26">
        <w:rPr>
          <w:b/>
          <w:lang w:val="en-GB"/>
        </w:rPr>
        <w:t>.</w:t>
      </w:r>
    </w:p>
    <w:p w:rsidR="00AB1596" w:rsidRPr="002F3F26" w:rsidRDefault="00AB1596" w:rsidP="008730A0">
      <w:pPr>
        <w:jc w:val="both"/>
        <w:rPr>
          <w:b/>
          <w:lang w:val="sr-Cyrl-CS"/>
        </w:rPr>
      </w:pPr>
    </w:p>
    <w:p w:rsidR="00D539E5" w:rsidRPr="002F3F26" w:rsidRDefault="00D539E5" w:rsidP="008730A0">
      <w:pPr>
        <w:jc w:val="both"/>
        <w:rPr>
          <w:b/>
          <w:lang w:val="sr-Cyrl-CS"/>
        </w:rPr>
      </w:pPr>
    </w:p>
    <w:p w:rsidR="00FF2232" w:rsidRPr="002F3F26" w:rsidRDefault="007D0A79" w:rsidP="008730A0">
      <w:pPr>
        <w:ind w:firstLine="720"/>
        <w:jc w:val="both"/>
        <w:rPr>
          <w:b/>
          <w:lang w:val="sr-Cyrl-CS"/>
        </w:rPr>
      </w:pPr>
      <w:r w:rsidRPr="002F3F26">
        <w:rPr>
          <w:b/>
          <w:lang w:val="sr-Cyrl-CS"/>
        </w:rPr>
        <w:t xml:space="preserve">НАПОМЕНА: </w:t>
      </w:r>
      <w:r w:rsidR="005F47FF" w:rsidRPr="002F3F26">
        <w:rPr>
          <w:lang w:val="sr-Cyrl-CS"/>
        </w:rPr>
        <w:t>По усвајању</w:t>
      </w:r>
      <w:r w:rsidR="005F47FF" w:rsidRPr="002F3F26">
        <w:t xml:space="preserve"> </w:t>
      </w:r>
      <w:r w:rsidR="005F47FF" w:rsidRPr="002F3F26">
        <w:rPr>
          <w:lang w:val="sr-Cyrl-CS"/>
        </w:rPr>
        <w:t>Фискалне стратегије за 201</w:t>
      </w:r>
      <w:r w:rsidR="00FF27E4">
        <w:t>9</w:t>
      </w:r>
      <w:r w:rsidR="00FF27E4">
        <w:rPr>
          <w:lang w:val="sr-Cyrl-CS"/>
        </w:rPr>
        <w:t>. годину са пројекцијама за 20</w:t>
      </w:r>
      <w:r w:rsidR="00FF27E4">
        <w:t>20</w:t>
      </w:r>
      <w:r w:rsidR="00FF27E4">
        <w:rPr>
          <w:lang w:val="sr-Cyrl-CS"/>
        </w:rPr>
        <w:t>. и 202</w:t>
      </w:r>
      <w:r w:rsidR="00FF27E4">
        <w:t>1</w:t>
      </w:r>
      <w:r w:rsidR="00D539E5" w:rsidRPr="002F3F26">
        <w:rPr>
          <w:lang w:val="sr-Cyrl-CS"/>
        </w:rPr>
        <w:t>. годину од стране Владе Републике Србије</w:t>
      </w:r>
      <w:r w:rsidR="006354FE" w:rsidRPr="002F3F26">
        <w:rPr>
          <w:lang w:val="sr-Cyrl-CS"/>
        </w:rPr>
        <w:t xml:space="preserve"> и доношењу </w:t>
      </w:r>
      <w:r w:rsidR="006354FE" w:rsidRPr="00A86058">
        <w:rPr>
          <w:b/>
          <w:lang w:val="sr-Cyrl-CS"/>
        </w:rPr>
        <w:t>Упутства за припрему одлуке</w:t>
      </w:r>
      <w:r w:rsidR="00FF27E4">
        <w:rPr>
          <w:b/>
          <w:lang w:val="sr-Cyrl-CS"/>
        </w:rPr>
        <w:t xml:space="preserve"> о буџету локалне власти за 201</w:t>
      </w:r>
      <w:r w:rsidR="00FF27E4">
        <w:rPr>
          <w:b/>
        </w:rPr>
        <w:t>9</w:t>
      </w:r>
      <w:r w:rsidR="006354FE" w:rsidRPr="00A86058">
        <w:rPr>
          <w:b/>
          <w:lang w:val="sr-Cyrl-CS"/>
        </w:rPr>
        <w:t>. годину</w:t>
      </w:r>
      <w:r w:rsidR="006354FE" w:rsidRPr="002F3F26">
        <w:rPr>
          <w:lang w:val="sr-Cyrl-CS"/>
        </w:rPr>
        <w:t>, који садрже</w:t>
      </w:r>
      <w:r w:rsidR="00D539E5" w:rsidRPr="002F3F26">
        <w:rPr>
          <w:lang w:val="sr-Cyrl-CS"/>
        </w:rPr>
        <w:t xml:space="preserve"> конкретне параметре за </w:t>
      </w:r>
      <w:r w:rsidR="00A85AFC" w:rsidRPr="002F3F26">
        <w:rPr>
          <w:lang w:val="sr-Cyrl-CS"/>
        </w:rPr>
        <w:t xml:space="preserve">утврђивање висине </w:t>
      </w:r>
      <w:r w:rsidR="00D539E5" w:rsidRPr="002F3F26">
        <w:rPr>
          <w:lang w:val="sr-Cyrl-CS"/>
        </w:rPr>
        <w:t xml:space="preserve">појединих врста </w:t>
      </w:r>
      <w:r w:rsidR="00A85AFC" w:rsidRPr="002F3F26">
        <w:rPr>
          <w:lang w:val="sr-Cyrl-CS"/>
        </w:rPr>
        <w:t>расхода</w:t>
      </w:r>
      <w:r w:rsidR="00D539E5" w:rsidRPr="002F3F26">
        <w:rPr>
          <w:lang w:val="sr-Cyrl-CS"/>
        </w:rPr>
        <w:t>, пре свега, плата,</w:t>
      </w:r>
      <w:r w:rsidR="00A85AFC" w:rsidRPr="002F3F26">
        <w:rPr>
          <w:lang w:val="sr-Cyrl-CS"/>
        </w:rPr>
        <w:t xml:space="preserve"> као и </w:t>
      </w:r>
      <w:r w:rsidR="00A85AFC" w:rsidRPr="00422D00">
        <w:rPr>
          <w:lang w:val="sr-Cyrl-CS"/>
        </w:rPr>
        <w:t>осталих мера које утичу на јавну потрошњу</w:t>
      </w:r>
      <w:r w:rsidR="00A85AFC" w:rsidRPr="002F3F26">
        <w:rPr>
          <w:lang w:val="sr-Cyrl-CS"/>
        </w:rPr>
        <w:t>, сви буџетски корисници биће благовремено обавештени, како би приступили</w:t>
      </w:r>
      <w:r w:rsidR="006354FE" w:rsidRPr="002F3F26">
        <w:rPr>
          <w:lang w:val="sr-Cyrl-CS"/>
        </w:rPr>
        <w:t xml:space="preserve"> евентуалним </w:t>
      </w:r>
      <w:r w:rsidR="00A85AFC" w:rsidRPr="002F3F26">
        <w:rPr>
          <w:lang w:val="sr-Cyrl-CS"/>
        </w:rPr>
        <w:t xml:space="preserve"> изменама и допунама предлога финансијских планова.</w:t>
      </w:r>
      <w:r w:rsidR="00FF2232" w:rsidRPr="002F3F26">
        <w:rPr>
          <w:b/>
          <w:lang w:val="sr-Cyrl-CS"/>
        </w:rPr>
        <w:tab/>
      </w:r>
      <w:r w:rsidR="00FF2232" w:rsidRPr="002F3F26">
        <w:rPr>
          <w:lang w:val="sr-Cyrl-CS"/>
        </w:rPr>
        <w:tab/>
      </w:r>
    </w:p>
    <w:p w:rsidR="001A3933" w:rsidRPr="002F3F26" w:rsidRDefault="001A3933" w:rsidP="008730A0">
      <w:pPr>
        <w:jc w:val="both"/>
        <w:rPr>
          <w:lang w:val="sr-Cyrl-CS"/>
        </w:rPr>
      </w:pPr>
    </w:p>
    <w:p w:rsidR="00944D27" w:rsidRDefault="00944D27" w:rsidP="008730A0">
      <w:pPr>
        <w:jc w:val="both"/>
        <w:rPr>
          <w:lang w:val="sr-Cyrl-CS"/>
        </w:rPr>
      </w:pPr>
    </w:p>
    <w:p w:rsidR="005700BD" w:rsidRPr="002F3F26" w:rsidRDefault="005700BD" w:rsidP="008730A0">
      <w:pPr>
        <w:jc w:val="both"/>
        <w:rPr>
          <w:lang w:val="sr-Cyrl-CS"/>
        </w:rPr>
      </w:pPr>
    </w:p>
    <w:p w:rsidR="00DB1477" w:rsidRPr="002F3F26" w:rsidRDefault="00DB1477" w:rsidP="008730A0">
      <w:pPr>
        <w:jc w:val="both"/>
        <w:rPr>
          <w:lang w:val="sr-Cyrl-CS"/>
        </w:rPr>
      </w:pPr>
    </w:p>
    <w:p w:rsidR="00FF2232" w:rsidRPr="0056213E" w:rsidRDefault="00FF2232" w:rsidP="008730A0">
      <w:r w:rsidRPr="002F3F26">
        <w:rPr>
          <w:lang w:val="sr-Cyrl-CS"/>
        </w:rPr>
        <w:t>Број:</w:t>
      </w:r>
      <w:r w:rsidRPr="002F3F26">
        <w:t xml:space="preserve"> </w:t>
      </w:r>
      <w:r w:rsidR="00580994">
        <w:rPr>
          <w:lang w:val="en-GB"/>
        </w:rPr>
        <w:t>4</w:t>
      </w:r>
      <w:r w:rsidR="001209C6">
        <w:rPr>
          <w:lang w:val="en-GB"/>
        </w:rPr>
        <w:t>-04-400-</w:t>
      </w:r>
      <w:r w:rsidR="00935028">
        <w:rPr>
          <w:lang w:val="en-GB"/>
        </w:rPr>
        <w:t>108</w:t>
      </w:r>
      <w:r w:rsidR="001209C6">
        <w:rPr>
          <w:lang w:val="en-GB"/>
        </w:rPr>
        <w:t>/</w:t>
      </w:r>
      <w:r w:rsidR="00A303B2">
        <w:t>2018</w:t>
      </w:r>
    </w:p>
    <w:p w:rsidR="00FF2232" w:rsidRPr="002F3F26" w:rsidRDefault="001209C6" w:rsidP="008730A0">
      <w:pPr>
        <w:jc w:val="both"/>
        <w:rPr>
          <w:lang w:val="sr-Cyrl-CS"/>
        </w:rPr>
      </w:pPr>
      <w:r>
        <w:t xml:space="preserve">31. јул </w:t>
      </w:r>
      <w:r w:rsidR="000848E2" w:rsidRPr="002F3F26">
        <w:rPr>
          <w:lang w:val="sr-Cyrl-CS"/>
        </w:rPr>
        <w:t>201</w:t>
      </w:r>
      <w:r w:rsidR="00A303B2">
        <w:t>8</w:t>
      </w:r>
      <w:r w:rsidR="000848E2" w:rsidRPr="002F3F26">
        <w:rPr>
          <w:lang w:val="sr-Cyrl-CS"/>
        </w:rPr>
        <w:t>.</w:t>
      </w:r>
      <w:r>
        <w:rPr>
          <w:lang w:val="sr-Cyrl-CS"/>
        </w:rPr>
        <w:t xml:space="preserve"> </w:t>
      </w:r>
      <w:r w:rsidR="000848E2" w:rsidRPr="002F3F26">
        <w:rPr>
          <w:lang w:val="sr-Cyrl-CS"/>
        </w:rPr>
        <w:t>године</w:t>
      </w:r>
    </w:p>
    <w:p w:rsidR="00FF2232" w:rsidRPr="002F3F26" w:rsidRDefault="00FF2232" w:rsidP="008730A0">
      <w:pPr>
        <w:jc w:val="both"/>
        <w:rPr>
          <w:lang w:val="sr-Cyrl-CS"/>
        </w:rPr>
      </w:pPr>
      <w:r w:rsidRPr="002F3F26">
        <w:rPr>
          <w:lang w:val="sr-Cyrl-CS"/>
        </w:rPr>
        <w:t>Горњи Милановац</w:t>
      </w:r>
    </w:p>
    <w:p w:rsidR="00AB1596" w:rsidRPr="002F3F26" w:rsidRDefault="00AB1596" w:rsidP="008730A0">
      <w:pPr>
        <w:jc w:val="both"/>
        <w:rPr>
          <w:lang w:val="sr-Cyrl-CS"/>
        </w:rPr>
      </w:pPr>
    </w:p>
    <w:p w:rsidR="009A546F" w:rsidRDefault="003D635C" w:rsidP="008730A0">
      <w:pPr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3D635C" w:rsidRDefault="003D635C" w:rsidP="008730A0">
      <w:pPr>
        <w:rPr>
          <w:lang w:val="sr-Cyrl-CS"/>
        </w:rPr>
      </w:pPr>
    </w:p>
    <w:p w:rsidR="003D635C" w:rsidRDefault="003D635C" w:rsidP="008730A0">
      <w:pPr>
        <w:rPr>
          <w:lang w:val="sr-Cyrl-CS"/>
        </w:rPr>
      </w:pPr>
    </w:p>
    <w:p w:rsidR="003D635C" w:rsidRDefault="003D635C" w:rsidP="008730A0"/>
    <w:p w:rsidR="009A546F" w:rsidRPr="003E2443" w:rsidRDefault="009A546F" w:rsidP="008730A0">
      <w:pPr>
        <w:ind w:left="1440"/>
        <w:rPr>
          <w:lang w:val="sr-Cyrl-CS"/>
        </w:rPr>
      </w:pPr>
      <w:r w:rsidRPr="003E2443">
        <w:rPr>
          <w:lang w:val="sr-Cyrl-CS"/>
        </w:rPr>
        <w:t>НАЧЕЛНИК</w:t>
      </w:r>
    </w:p>
    <w:p w:rsidR="009A546F" w:rsidRPr="003E2443" w:rsidRDefault="009A546F" w:rsidP="008730A0">
      <w:pPr>
        <w:rPr>
          <w:lang w:val="sr-Cyrl-CS"/>
        </w:rPr>
      </w:pPr>
      <w:r w:rsidRPr="003E2443">
        <w:rPr>
          <w:lang w:val="sr-Cyrl-CS"/>
        </w:rPr>
        <w:t xml:space="preserve">Одељења  за финансије, рачуноводство и </w:t>
      </w:r>
    </w:p>
    <w:p w:rsidR="009A546F" w:rsidRPr="003E2443" w:rsidRDefault="009A546F" w:rsidP="008730A0">
      <w:pPr>
        <w:rPr>
          <w:lang w:val="sr-Cyrl-CS"/>
        </w:rPr>
      </w:pPr>
      <w:r w:rsidRPr="003E2443">
        <w:rPr>
          <w:lang w:val="sr-Cyrl-CS"/>
        </w:rPr>
        <w:t xml:space="preserve">     локалну пореску администрацију</w:t>
      </w:r>
    </w:p>
    <w:p w:rsidR="009A546F" w:rsidRPr="003E2443" w:rsidRDefault="009A546F" w:rsidP="008730A0">
      <w:pPr>
        <w:rPr>
          <w:lang w:val="sr-Cyrl-CS"/>
        </w:rPr>
      </w:pPr>
      <w:r w:rsidRPr="003E2443">
        <w:rPr>
          <w:lang w:val="sr-Cyrl-CS"/>
        </w:rPr>
        <w:t xml:space="preserve">             Александра Милошевић</w:t>
      </w:r>
    </w:p>
    <w:p w:rsidR="00AB1596" w:rsidRPr="002F3F26" w:rsidRDefault="00AB1596" w:rsidP="008730A0">
      <w:pPr>
        <w:jc w:val="both"/>
        <w:rPr>
          <w:lang w:val="sr-Cyrl-CS"/>
        </w:rPr>
      </w:pPr>
    </w:p>
    <w:p w:rsidR="00944D27" w:rsidRPr="002F3F26" w:rsidRDefault="0068497A" w:rsidP="008730A0">
      <w:pPr>
        <w:rPr>
          <w:lang w:val="sr-Cyrl-CS"/>
        </w:rPr>
      </w:pPr>
      <w:r w:rsidRPr="002F3F26">
        <w:rPr>
          <w:lang w:val="sr-Cyrl-CS"/>
        </w:rPr>
        <w:t xml:space="preserve">                    </w:t>
      </w:r>
    </w:p>
    <w:p w:rsidR="00ED4970" w:rsidRPr="002F3F26" w:rsidRDefault="00BF4C88" w:rsidP="008730A0">
      <w:pPr>
        <w:ind w:left="5040"/>
        <w:jc w:val="center"/>
        <w:rPr>
          <w:lang w:val="sr-Cyrl-CS"/>
        </w:rPr>
      </w:pPr>
      <w:r w:rsidRPr="002F3F26">
        <w:rPr>
          <w:lang w:val="sr-Cyrl-CS"/>
        </w:rPr>
        <w:t>НАЧЕЛНИК</w:t>
      </w:r>
    </w:p>
    <w:p w:rsidR="00BF4C88" w:rsidRPr="002F3F26" w:rsidRDefault="00BF4C88" w:rsidP="008730A0">
      <w:pPr>
        <w:ind w:left="5040"/>
        <w:jc w:val="center"/>
        <w:rPr>
          <w:lang w:val="sr-Cyrl-CS"/>
        </w:rPr>
      </w:pPr>
      <w:r w:rsidRPr="002F3F26">
        <w:rPr>
          <w:lang w:val="sr-Cyrl-CS"/>
        </w:rPr>
        <w:t>ОПШТИНСКЕ УПРАВЕ</w:t>
      </w:r>
    </w:p>
    <w:p w:rsidR="00ED4970" w:rsidRPr="0085646B" w:rsidRDefault="0085646B" w:rsidP="008730A0">
      <w:r>
        <w:t xml:space="preserve">                                                                                                   Александар Јевтовић</w:t>
      </w:r>
    </w:p>
    <w:sectPr w:rsidR="00ED4970" w:rsidRPr="0085646B" w:rsidSect="005C1B5D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10" w:rsidRDefault="00596810" w:rsidP="00C934E0">
      <w:r>
        <w:separator/>
      </w:r>
    </w:p>
  </w:endnote>
  <w:endnote w:type="continuationSeparator" w:id="0">
    <w:p w:rsidR="00596810" w:rsidRDefault="00596810" w:rsidP="00C9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7F" w:rsidRDefault="007C4105" w:rsidP="00712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25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57F" w:rsidRDefault="008B257F" w:rsidP="00712F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5249"/>
      <w:docPartObj>
        <w:docPartGallery w:val="Page Numbers (Bottom of Page)"/>
        <w:docPartUnique/>
      </w:docPartObj>
    </w:sdtPr>
    <w:sdtContent>
      <w:p w:rsidR="008B257F" w:rsidRDefault="007C4105">
        <w:pPr>
          <w:pStyle w:val="Footer"/>
          <w:jc w:val="right"/>
        </w:pPr>
        <w:fldSimple w:instr=" PAGE   \* MERGEFORMAT ">
          <w:r w:rsidR="002C16B2">
            <w:rPr>
              <w:noProof/>
            </w:rPr>
            <w:t>12</w:t>
          </w:r>
        </w:fldSimple>
      </w:p>
    </w:sdtContent>
  </w:sdt>
  <w:p w:rsidR="008B257F" w:rsidRDefault="008B257F" w:rsidP="00712F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7F" w:rsidRDefault="008B257F">
    <w:pPr>
      <w:pStyle w:val="Footer"/>
      <w:jc w:val="right"/>
    </w:pPr>
  </w:p>
  <w:p w:rsidR="008B257F" w:rsidRDefault="008B2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10" w:rsidRDefault="00596810" w:rsidP="00C934E0">
      <w:r>
        <w:separator/>
      </w:r>
    </w:p>
  </w:footnote>
  <w:footnote w:type="continuationSeparator" w:id="0">
    <w:p w:rsidR="00596810" w:rsidRDefault="00596810" w:rsidP="00C93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AA8"/>
    <w:multiLevelType w:val="hybridMultilevel"/>
    <w:tmpl w:val="B90A6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6E5"/>
    <w:multiLevelType w:val="hybridMultilevel"/>
    <w:tmpl w:val="F11C533A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B2081"/>
    <w:multiLevelType w:val="hybridMultilevel"/>
    <w:tmpl w:val="544E884C"/>
    <w:lvl w:ilvl="0" w:tplc="ECE48F5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BCB79BF"/>
    <w:multiLevelType w:val="hybridMultilevel"/>
    <w:tmpl w:val="C0200E3E"/>
    <w:lvl w:ilvl="0" w:tplc="31A05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94D0B"/>
    <w:multiLevelType w:val="hybridMultilevel"/>
    <w:tmpl w:val="3FFAEC50"/>
    <w:lvl w:ilvl="0" w:tplc="2DF6C5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26D5B06"/>
    <w:multiLevelType w:val="hybridMultilevel"/>
    <w:tmpl w:val="8A1CFC7C"/>
    <w:lvl w:ilvl="0" w:tplc="960E05DE">
      <w:start w:val="1"/>
      <w:numFmt w:val="bullet"/>
      <w:lvlText w:val="-"/>
      <w:lvlJc w:val="left"/>
      <w:pPr>
        <w:tabs>
          <w:tab w:val="num" w:pos="738"/>
        </w:tabs>
        <w:ind w:left="738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3AFA529C"/>
    <w:multiLevelType w:val="multilevel"/>
    <w:tmpl w:val="D6AC0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7">
    <w:nsid w:val="3E7144CC"/>
    <w:multiLevelType w:val="hybridMultilevel"/>
    <w:tmpl w:val="32BCA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D44A2"/>
    <w:multiLevelType w:val="hybridMultilevel"/>
    <w:tmpl w:val="90967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C6072"/>
    <w:multiLevelType w:val="hybridMultilevel"/>
    <w:tmpl w:val="8F66CCDE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643AC"/>
    <w:multiLevelType w:val="hybridMultilevel"/>
    <w:tmpl w:val="CF30E298"/>
    <w:lvl w:ilvl="0" w:tplc="C1845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0638FF"/>
    <w:multiLevelType w:val="hybridMultilevel"/>
    <w:tmpl w:val="AB186046"/>
    <w:lvl w:ilvl="0" w:tplc="960E05DE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75319"/>
    <w:multiLevelType w:val="hybridMultilevel"/>
    <w:tmpl w:val="EBF6CB5A"/>
    <w:lvl w:ilvl="0" w:tplc="8C40E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C02B4"/>
    <w:multiLevelType w:val="hybridMultilevel"/>
    <w:tmpl w:val="C9DEE270"/>
    <w:lvl w:ilvl="0" w:tplc="B0F097F2">
      <w:numFmt w:val="bullet"/>
      <w:lvlText w:val="-"/>
      <w:lvlJc w:val="left"/>
      <w:pPr>
        <w:ind w:left="720" w:hanging="360"/>
      </w:pPr>
      <w:rPr>
        <w:rFonts w:ascii="Ottawa" w:eastAsia="Times New Roman" w:hAnsi="Ottaw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115E9"/>
    <w:multiLevelType w:val="hybridMultilevel"/>
    <w:tmpl w:val="840EB188"/>
    <w:lvl w:ilvl="0" w:tplc="C526BF3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50BA0"/>
    <w:multiLevelType w:val="hybridMultilevel"/>
    <w:tmpl w:val="707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41546"/>
    <w:multiLevelType w:val="hybridMultilevel"/>
    <w:tmpl w:val="91F28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D556DD"/>
    <w:multiLevelType w:val="hybridMultilevel"/>
    <w:tmpl w:val="41D6FF70"/>
    <w:lvl w:ilvl="0" w:tplc="3B16048E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FF2232"/>
    <w:rsid w:val="00005992"/>
    <w:rsid w:val="00007101"/>
    <w:rsid w:val="000075CA"/>
    <w:rsid w:val="00012E8F"/>
    <w:rsid w:val="000158AB"/>
    <w:rsid w:val="0001709A"/>
    <w:rsid w:val="00017213"/>
    <w:rsid w:val="00017CF1"/>
    <w:rsid w:val="000216E3"/>
    <w:rsid w:val="000228AC"/>
    <w:rsid w:val="00024B4A"/>
    <w:rsid w:val="0003115C"/>
    <w:rsid w:val="000326E0"/>
    <w:rsid w:val="0003416A"/>
    <w:rsid w:val="000346F5"/>
    <w:rsid w:val="00034C96"/>
    <w:rsid w:val="00035784"/>
    <w:rsid w:val="00041859"/>
    <w:rsid w:val="000426D4"/>
    <w:rsid w:val="000453B6"/>
    <w:rsid w:val="0004656C"/>
    <w:rsid w:val="00047E06"/>
    <w:rsid w:val="0005057F"/>
    <w:rsid w:val="000505F1"/>
    <w:rsid w:val="00053C4F"/>
    <w:rsid w:val="00054014"/>
    <w:rsid w:val="00054AB0"/>
    <w:rsid w:val="00055435"/>
    <w:rsid w:val="00061E02"/>
    <w:rsid w:val="00064002"/>
    <w:rsid w:val="00064333"/>
    <w:rsid w:val="00066EA5"/>
    <w:rsid w:val="00070133"/>
    <w:rsid w:val="00070E29"/>
    <w:rsid w:val="00071485"/>
    <w:rsid w:val="00074135"/>
    <w:rsid w:val="00075E69"/>
    <w:rsid w:val="00077D9D"/>
    <w:rsid w:val="00080F28"/>
    <w:rsid w:val="000822FE"/>
    <w:rsid w:val="000848E2"/>
    <w:rsid w:val="00086C49"/>
    <w:rsid w:val="00087CF2"/>
    <w:rsid w:val="0009165E"/>
    <w:rsid w:val="00091E72"/>
    <w:rsid w:val="000A157B"/>
    <w:rsid w:val="000A297E"/>
    <w:rsid w:val="000A2C9E"/>
    <w:rsid w:val="000B3AB9"/>
    <w:rsid w:val="000B519C"/>
    <w:rsid w:val="000C1732"/>
    <w:rsid w:val="000C35BA"/>
    <w:rsid w:val="000C4DB8"/>
    <w:rsid w:val="000D0753"/>
    <w:rsid w:val="000D1428"/>
    <w:rsid w:val="000D230E"/>
    <w:rsid w:val="000D69E6"/>
    <w:rsid w:val="000E1C39"/>
    <w:rsid w:val="000E246E"/>
    <w:rsid w:val="000E29FB"/>
    <w:rsid w:val="000E2C08"/>
    <w:rsid w:val="000E3A2A"/>
    <w:rsid w:val="000E52B1"/>
    <w:rsid w:val="000F1467"/>
    <w:rsid w:val="000F26F6"/>
    <w:rsid w:val="000F2971"/>
    <w:rsid w:val="000F3757"/>
    <w:rsid w:val="000F491C"/>
    <w:rsid w:val="00101743"/>
    <w:rsid w:val="00106117"/>
    <w:rsid w:val="001111F0"/>
    <w:rsid w:val="00112C0A"/>
    <w:rsid w:val="00112D28"/>
    <w:rsid w:val="00115269"/>
    <w:rsid w:val="00115BDE"/>
    <w:rsid w:val="0011617F"/>
    <w:rsid w:val="001175A7"/>
    <w:rsid w:val="001209C6"/>
    <w:rsid w:val="00122176"/>
    <w:rsid w:val="00122706"/>
    <w:rsid w:val="00125B09"/>
    <w:rsid w:val="00125FD0"/>
    <w:rsid w:val="00127114"/>
    <w:rsid w:val="001330EB"/>
    <w:rsid w:val="00137B58"/>
    <w:rsid w:val="00143BF8"/>
    <w:rsid w:val="00143E33"/>
    <w:rsid w:val="00145C71"/>
    <w:rsid w:val="00153DF9"/>
    <w:rsid w:val="00154556"/>
    <w:rsid w:val="001547C8"/>
    <w:rsid w:val="00154FBD"/>
    <w:rsid w:val="0015637C"/>
    <w:rsid w:val="001574C9"/>
    <w:rsid w:val="00160194"/>
    <w:rsid w:val="0016163F"/>
    <w:rsid w:val="00165B1A"/>
    <w:rsid w:val="00166D62"/>
    <w:rsid w:val="00170B94"/>
    <w:rsid w:val="00170C4D"/>
    <w:rsid w:val="00171E25"/>
    <w:rsid w:val="00173BB0"/>
    <w:rsid w:val="001761C6"/>
    <w:rsid w:val="00176F4F"/>
    <w:rsid w:val="00190685"/>
    <w:rsid w:val="00191E58"/>
    <w:rsid w:val="00192538"/>
    <w:rsid w:val="00192B75"/>
    <w:rsid w:val="00194C87"/>
    <w:rsid w:val="0019568C"/>
    <w:rsid w:val="001975C4"/>
    <w:rsid w:val="001A1359"/>
    <w:rsid w:val="001A3933"/>
    <w:rsid w:val="001A54E2"/>
    <w:rsid w:val="001A7C20"/>
    <w:rsid w:val="001B4AE1"/>
    <w:rsid w:val="001B5BAC"/>
    <w:rsid w:val="001B79B9"/>
    <w:rsid w:val="001C2150"/>
    <w:rsid w:val="001C51D4"/>
    <w:rsid w:val="001D06E3"/>
    <w:rsid w:val="001D181E"/>
    <w:rsid w:val="001D1A81"/>
    <w:rsid w:val="001D2789"/>
    <w:rsid w:val="001D6FE0"/>
    <w:rsid w:val="001E1789"/>
    <w:rsid w:val="001E418B"/>
    <w:rsid w:val="001E47A5"/>
    <w:rsid w:val="001F3945"/>
    <w:rsid w:val="001F43DD"/>
    <w:rsid w:val="001F71F2"/>
    <w:rsid w:val="00200654"/>
    <w:rsid w:val="002024B4"/>
    <w:rsid w:val="00204998"/>
    <w:rsid w:val="00207AFA"/>
    <w:rsid w:val="0021273B"/>
    <w:rsid w:val="00213B17"/>
    <w:rsid w:val="00213C22"/>
    <w:rsid w:val="002152D3"/>
    <w:rsid w:val="00216111"/>
    <w:rsid w:val="002213D4"/>
    <w:rsid w:val="00221453"/>
    <w:rsid w:val="00221D41"/>
    <w:rsid w:val="00221EC9"/>
    <w:rsid w:val="00226872"/>
    <w:rsid w:val="002300F1"/>
    <w:rsid w:val="00230432"/>
    <w:rsid w:val="002318B0"/>
    <w:rsid w:val="002325A2"/>
    <w:rsid w:val="0023506D"/>
    <w:rsid w:val="002374AF"/>
    <w:rsid w:val="002374B2"/>
    <w:rsid w:val="00237921"/>
    <w:rsid w:val="00240C9F"/>
    <w:rsid w:val="00240F6B"/>
    <w:rsid w:val="00250F94"/>
    <w:rsid w:val="002532B7"/>
    <w:rsid w:val="00253FE2"/>
    <w:rsid w:val="00254517"/>
    <w:rsid w:val="002560B3"/>
    <w:rsid w:val="00256A59"/>
    <w:rsid w:val="00262AEA"/>
    <w:rsid w:val="00263002"/>
    <w:rsid w:val="0026684F"/>
    <w:rsid w:val="0026688E"/>
    <w:rsid w:val="002677C9"/>
    <w:rsid w:val="002758E7"/>
    <w:rsid w:val="00276159"/>
    <w:rsid w:val="002774FB"/>
    <w:rsid w:val="00282C3E"/>
    <w:rsid w:val="002830EF"/>
    <w:rsid w:val="00286FF6"/>
    <w:rsid w:val="00297BDB"/>
    <w:rsid w:val="00297D22"/>
    <w:rsid w:val="00297EE6"/>
    <w:rsid w:val="002A0031"/>
    <w:rsid w:val="002A063A"/>
    <w:rsid w:val="002A3413"/>
    <w:rsid w:val="002A5C32"/>
    <w:rsid w:val="002A70F1"/>
    <w:rsid w:val="002A7B78"/>
    <w:rsid w:val="002B285B"/>
    <w:rsid w:val="002B3320"/>
    <w:rsid w:val="002B5788"/>
    <w:rsid w:val="002C13FA"/>
    <w:rsid w:val="002C16B2"/>
    <w:rsid w:val="002C2B44"/>
    <w:rsid w:val="002C7837"/>
    <w:rsid w:val="002D10E8"/>
    <w:rsid w:val="002D20D4"/>
    <w:rsid w:val="002D37E7"/>
    <w:rsid w:val="002D5212"/>
    <w:rsid w:val="002D6A88"/>
    <w:rsid w:val="002D7177"/>
    <w:rsid w:val="002D784A"/>
    <w:rsid w:val="002E07BA"/>
    <w:rsid w:val="002E096B"/>
    <w:rsid w:val="002E2CF2"/>
    <w:rsid w:val="002E6479"/>
    <w:rsid w:val="002F3F26"/>
    <w:rsid w:val="002F60B7"/>
    <w:rsid w:val="002F6AF8"/>
    <w:rsid w:val="002F75C1"/>
    <w:rsid w:val="00301370"/>
    <w:rsid w:val="00302F7B"/>
    <w:rsid w:val="00304B5D"/>
    <w:rsid w:val="003051F7"/>
    <w:rsid w:val="0031159D"/>
    <w:rsid w:val="00311BD8"/>
    <w:rsid w:val="00320293"/>
    <w:rsid w:val="003202B1"/>
    <w:rsid w:val="00321108"/>
    <w:rsid w:val="00321422"/>
    <w:rsid w:val="00327B9E"/>
    <w:rsid w:val="00330B05"/>
    <w:rsid w:val="003318FC"/>
    <w:rsid w:val="00332C9D"/>
    <w:rsid w:val="0033438F"/>
    <w:rsid w:val="003349E6"/>
    <w:rsid w:val="00335323"/>
    <w:rsid w:val="00343283"/>
    <w:rsid w:val="00346234"/>
    <w:rsid w:val="00346ADC"/>
    <w:rsid w:val="00346C35"/>
    <w:rsid w:val="00351AD5"/>
    <w:rsid w:val="00351F5A"/>
    <w:rsid w:val="00352EE8"/>
    <w:rsid w:val="0035475F"/>
    <w:rsid w:val="00354B52"/>
    <w:rsid w:val="0035770B"/>
    <w:rsid w:val="00361C9C"/>
    <w:rsid w:val="00363253"/>
    <w:rsid w:val="00365037"/>
    <w:rsid w:val="0037266E"/>
    <w:rsid w:val="00372EBC"/>
    <w:rsid w:val="003734B7"/>
    <w:rsid w:val="00374139"/>
    <w:rsid w:val="00374BFC"/>
    <w:rsid w:val="00375D7C"/>
    <w:rsid w:val="0038010D"/>
    <w:rsid w:val="00383FBB"/>
    <w:rsid w:val="00383FC0"/>
    <w:rsid w:val="00384D2B"/>
    <w:rsid w:val="003854AC"/>
    <w:rsid w:val="00386609"/>
    <w:rsid w:val="003942D0"/>
    <w:rsid w:val="003956B1"/>
    <w:rsid w:val="00395875"/>
    <w:rsid w:val="00395A01"/>
    <w:rsid w:val="003A1689"/>
    <w:rsid w:val="003A236C"/>
    <w:rsid w:val="003A57FD"/>
    <w:rsid w:val="003A71C3"/>
    <w:rsid w:val="003B1BBF"/>
    <w:rsid w:val="003B3841"/>
    <w:rsid w:val="003B4F66"/>
    <w:rsid w:val="003B5125"/>
    <w:rsid w:val="003C2933"/>
    <w:rsid w:val="003C2975"/>
    <w:rsid w:val="003C5E65"/>
    <w:rsid w:val="003C7BF6"/>
    <w:rsid w:val="003C7CE7"/>
    <w:rsid w:val="003D052A"/>
    <w:rsid w:val="003D0F90"/>
    <w:rsid w:val="003D16CC"/>
    <w:rsid w:val="003D1918"/>
    <w:rsid w:val="003D21A9"/>
    <w:rsid w:val="003D2315"/>
    <w:rsid w:val="003D30F3"/>
    <w:rsid w:val="003D465A"/>
    <w:rsid w:val="003D47CE"/>
    <w:rsid w:val="003D5789"/>
    <w:rsid w:val="003D635C"/>
    <w:rsid w:val="003D657F"/>
    <w:rsid w:val="003E064A"/>
    <w:rsid w:val="003E0E50"/>
    <w:rsid w:val="003E61DE"/>
    <w:rsid w:val="003F0C62"/>
    <w:rsid w:val="003F1FD7"/>
    <w:rsid w:val="003F6C9A"/>
    <w:rsid w:val="00400F0F"/>
    <w:rsid w:val="00402FDA"/>
    <w:rsid w:val="004070AD"/>
    <w:rsid w:val="00407E3B"/>
    <w:rsid w:val="0041185C"/>
    <w:rsid w:val="0041210B"/>
    <w:rsid w:val="00422D00"/>
    <w:rsid w:val="00431EB9"/>
    <w:rsid w:val="004321C3"/>
    <w:rsid w:val="00432592"/>
    <w:rsid w:val="004348D6"/>
    <w:rsid w:val="00437011"/>
    <w:rsid w:val="004370AE"/>
    <w:rsid w:val="004372DB"/>
    <w:rsid w:val="00442145"/>
    <w:rsid w:val="00442B35"/>
    <w:rsid w:val="004460D1"/>
    <w:rsid w:val="00446F4F"/>
    <w:rsid w:val="004471EB"/>
    <w:rsid w:val="00452971"/>
    <w:rsid w:val="004531F7"/>
    <w:rsid w:val="00453CD1"/>
    <w:rsid w:val="00462D8C"/>
    <w:rsid w:val="00463784"/>
    <w:rsid w:val="00464408"/>
    <w:rsid w:val="004668C7"/>
    <w:rsid w:val="00466913"/>
    <w:rsid w:val="0047023E"/>
    <w:rsid w:val="00471803"/>
    <w:rsid w:val="004732EF"/>
    <w:rsid w:val="00474415"/>
    <w:rsid w:val="0048394C"/>
    <w:rsid w:val="00484777"/>
    <w:rsid w:val="00484A0F"/>
    <w:rsid w:val="00485EAC"/>
    <w:rsid w:val="004873E8"/>
    <w:rsid w:val="00490298"/>
    <w:rsid w:val="00493195"/>
    <w:rsid w:val="004952E7"/>
    <w:rsid w:val="0049603C"/>
    <w:rsid w:val="00497D8D"/>
    <w:rsid w:val="004A0B32"/>
    <w:rsid w:val="004A14B1"/>
    <w:rsid w:val="004A1F44"/>
    <w:rsid w:val="004A2C11"/>
    <w:rsid w:val="004A70C8"/>
    <w:rsid w:val="004A7333"/>
    <w:rsid w:val="004B1F49"/>
    <w:rsid w:val="004B5477"/>
    <w:rsid w:val="004B58DD"/>
    <w:rsid w:val="004C12A5"/>
    <w:rsid w:val="004C52C7"/>
    <w:rsid w:val="004C5807"/>
    <w:rsid w:val="004C5A48"/>
    <w:rsid w:val="004C5F5A"/>
    <w:rsid w:val="004D0D47"/>
    <w:rsid w:val="004D4229"/>
    <w:rsid w:val="004D5C96"/>
    <w:rsid w:val="004D6696"/>
    <w:rsid w:val="004D7CA8"/>
    <w:rsid w:val="004E1227"/>
    <w:rsid w:val="004E42A2"/>
    <w:rsid w:val="004F0BB4"/>
    <w:rsid w:val="004F3801"/>
    <w:rsid w:val="004F6877"/>
    <w:rsid w:val="00500392"/>
    <w:rsid w:val="00504DE3"/>
    <w:rsid w:val="005070C5"/>
    <w:rsid w:val="005073C4"/>
    <w:rsid w:val="005078F0"/>
    <w:rsid w:val="00512FA2"/>
    <w:rsid w:val="00513426"/>
    <w:rsid w:val="00516DA8"/>
    <w:rsid w:val="00517AEE"/>
    <w:rsid w:val="00520662"/>
    <w:rsid w:val="00520C5F"/>
    <w:rsid w:val="00523CEB"/>
    <w:rsid w:val="00523D3D"/>
    <w:rsid w:val="005241F1"/>
    <w:rsid w:val="00525724"/>
    <w:rsid w:val="0053742A"/>
    <w:rsid w:val="0054127C"/>
    <w:rsid w:val="005420DE"/>
    <w:rsid w:val="00542312"/>
    <w:rsid w:val="00542A8B"/>
    <w:rsid w:val="0054339E"/>
    <w:rsid w:val="00544E62"/>
    <w:rsid w:val="00551CF9"/>
    <w:rsid w:val="00552D07"/>
    <w:rsid w:val="00553B93"/>
    <w:rsid w:val="00553ED0"/>
    <w:rsid w:val="005550BA"/>
    <w:rsid w:val="0055652B"/>
    <w:rsid w:val="00557E66"/>
    <w:rsid w:val="0056213E"/>
    <w:rsid w:val="00562EF6"/>
    <w:rsid w:val="00563290"/>
    <w:rsid w:val="005637C4"/>
    <w:rsid w:val="0056383A"/>
    <w:rsid w:val="00566638"/>
    <w:rsid w:val="005700BD"/>
    <w:rsid w:val="00576F4E"/>
    <w:rsid w:val="00577260"/>
    <w:rsid w:val="00577A2A"/>
    <w:rsid w:val="00580302"/>
    <w:rsid w:val="00580994"/>
    <w:rsid w:val="0058358D"/>
    <w:rsid w:val="00596810"/>
    <w:rsid w:val="005A0164"/>
    <w:rsid w:val="005A216E"/>
    <w:rsid w:val="005A4009"/>
    <w:rsid w:val="005A72DD"/>
    <w:rsid w:val="005A7650"/>
    <w:rsid w:val="005B063C"/>
    <w:rsid w:val="005B3D7E"/>
    <w:rsid w:val="005B5F37"/>
    <w:rsid w:val="005C07F5"/>
    <w:rsid w:val="005C1B5D"/>
    <w:rsid w:val="005D0F6A"/>
    <w:rsid w:val="005D12EC"/>
    <w:rsid w:val="005D1C75"/>
    <w:rsid w:val="005D21D8"/>
    <w:rsid w:val="005D2435"/>
    <w:rsid w:val="005D427A"/>
    <w:rsid w:val="005D48D6"/>
    <w:rsid w:val="005D4C8E"/>
    <w:rsid w:val="005D5D14"/>
    <w:rsid w:val="005D7743"/>
    <w:rsid w:val="005E0808"/>
    <w:rsid w:val="005E2B65"/>
    <w:rsid w:val="005E2EA6"/>
    <w:rsid w:val="005E615D"/>
    <w:rsid w:val="005F2E8D"/>
    <w:rsid w:val="005F360C"/>
    <w:rsid w:val="005F47FF"/>
    <w:rsid w:val="005F608A"/>
    <w:rsid w:val="005F6ECD"/>
    <w:rsid w:val="005F7DF8"/>
    <w:rsid w:val="00600F05"/>
    <w:rsid w:val="00604824"/>
    <w:rsid w:val="006057C1"/>
    <w:rsid w:val="006077B6"/>
    <w:rsid w:val="00610A00"/>
    <w:rsid w:val="00611221"/>
    <w:rsid w:val="00611756"/>
    <w:rsid w:val="00612F04"/>
    <w:rsid w:val="0061540D"/>
    <w:rsid w:val="00620F47"/>
    <w:rsid w:val="00623DCF"/>
    <w:rsid w:val="00627671"/>
    <w:rsid w:val="00631103"/>
    <w:rsid w:val="006314E0"/>
    <w:rsid w:val="00631765"/>
    <w:rsid w:val="006330AA"/>
    <w:rsid w:val="00634928"/>
    <w:rsid w:val="006354FE"/>
    <w:rsid w:val="00635D7C"/>
    <w:rsid w:val="006408D6"/>
    <w:rsid w:val="0064184F"/>
    <w:rsid w:val="00642E77"/>
    <w:rsid w:val="00643630"/>
    <w:rsid w:val="0064395C"/>
    <w:rsid w:val="00644891"/>
    <w:rsid w:val="00645222"/>
    <w:rsid w:val="0065216A"/>
    <w:rsid w:val="006632A1"/>
    <w:rsid w:val="006637AD"/>
    <w:rsid w:val="006678C5"/>
    <w:rsid w:val="00671067"/>
    <w:rsid w:val="00671401"/>
    <w:rsid w:val="00671D02"/>
    <w:rsid w:val="006746C0"/>
    <w:rsid w:val="00676D33"/>
    <w:rsid w:val="006820E0"/>
    <w:rsid w:val="0068497A"/>
    <w:rsid w:val="006850A5"/>
    <w:rsid w:val="00686565"/>
    <w:rsid w:val="00690BB7"/>
    <w:rsid w:val="006930DF"/>
    <w:rsid w:val="00693F50"/>
    <w:rsid w:val="006941DF"/>
    <w:rsid w:val="00695C7D"/>
    <w:rsid w:val="006A1C70"/>
    <w:rsid w:val="006A4E00"/>
    <w:rsid w:val="006A54A9"/>
    <w:rsid w:val="006B0456"/>
    <w:rsid w:val="006B0D0C"/>
    <w:rsid w:val="006B38B6"/>
    <w:rsid w:val="006B53CD"/>
    <w:rsid w:val="006B7B63"/>
    <w:rsid w:val="006C62C1"/>
    <w:rsid w:val="006C6B57"/>
    <w:rsid w:val="006C7A62"/>
    <w:rsid w:val="006C7DCF"/>
    <w:rsid w:val="006D0F12"/>
    <w:rsid w:val="006D226C"/>
    <w:rsid w:val="006D2E04"/>
    <w:rsid w:val="006D6C9C"/>
    <w:rsid w:val="006D70FA"/>
    <w:rsid w:val="006E109F"/>
    <w:rsid w:val="006E24F9"/>
    <w:rsid w:val="006E30D4"/>
    <w:rsid w:val="006E343E"/>
    <w:rsid w:val="006E54FF"/>
    <w:rsid w:val="006E5795"/>
    <w:rsid w:val="006E7C8E"/>
    <w:rsid w:val="006F1823"/>
    <w:rsid w:val="006F426B"/>
    <w:rsid w:val="007004D9"/>
    <w:rsid w:val="00700A2B"/>
    <w:rsid w:val="00704425"/>
    <w:rsid w:val="007056C3"/>
    <w:rsid w:val="00705E4B"/>
    <w:rsid w:val="00706DD2"/>
    <w:rsid w:val="00707DFA"/>
    <w:rsid w:val="00711DE2"/>
    <w:rsid w:val="00712F9A"/>
    <w:rsid w:val="00716DE5"/>
    <w:rsid w:val="007219E5"/>
    <w:rsid w:val="00723036"/>
    <w:rsid w:val="0072429B"/>
    <w:rsid w:val="0073189F"/>
    <w:rsid w:val="0073515A"/>
    <w:rsid w:val="00735AFB"/>
    <w:rsid w:val="007376AE"/>
    <w:rsid w:val="0074081F"/>
    <w:rsid w:val="00742662"/>
    <w:rsid w:val="00742BB5"/>
    <w:rsid w:val="00743FB1"/>
    <w:rsid w:val="00750ECE"/>
    <w:rsid w:val="0075521F"/>
    <w:rsid w:val="00756A65"/>
    <w:rsid w:val="00757FB8"/>
    <w:rsid w:val="0076013D"/>
    <w:rsid w:val="00761E43"/>
    <w:rsid w:val="007646EA"/>
    <w:rsid w:val="007649E3"/>
    <w:rsid w:val="00770040"/>
    <w:rsid w:val="007704AE"/>
    <w:rsid w:val="00771C9B"/>
    <w:rsid w:val="007747ED"/>
    <w:rsid w:val="0077488C"/>
    <w:rsid w:val="0077549D"/>
    <w:rsid w:val="00780766"/>
    <w:rsid w:val="00780A12"/>
    <w:rsid w:val="007814E5"/>
    <w:rsid w:val="00785244"/>
    <w:rsid w:val="0078577E"/>
    <w:rsid w:val="00785C22"/>
    <w:rsid w:val="00792B1D"/>
    <w:rsid w:val="00793BE6"/>
    <w:rsid w:val="00795E6D"/>
    <w:rsid w:val="00795F47"/>
    <w:rsid w:val="007A33C4"/>
    <w:rsid w:val="007A4405"/>
    <w:rsid w:val="007A7BD0"/>
    <w:rsid w:val="007B039C"/>
    <w:rsid w:val="007B0AC7"/>
    <w:rsid w:val="007B122E"/>
    <w:rsid w:val="007B533A"/>
    <w:rsid w:val="007B5956"/>
    <w:rsid w:val="007B7794"/>
    <w:rsid w:val="007C0285"/>
    <w:rsid w:val="007C1304"/>
    <w:rsid w:val="007C306B"/>
    <w:rsid w:val="007C323A"/>
    <w:rsid w:val="007C4105"/>
    <w:rsid w:val="007D0A79"/>
    <w:rsid w:val="007D5ACE"/>
    <w:rsid w:val="007E41F6"/>
    <w:rsid w:val="007E4B7D"/>
    <w:rsid w:val="007E4E43"/>
    <w:rsid w:val="007E50E9"/>
    <w:rsid w:val="007E6A20"/>
    <w:rsid w:val="007E6E52"/>
    <w:rsid w:val="007F2485"/>
    <w:rsid w:val="007F28FC"/>
    <w:rsid w:val="007F3EC5"/>
    <w:rsid w:val="0080086E"/>
    <w:rsid w:val="008017F6"/>
    <w:rsid w:val="00801C7B"/>
    <w:rsid w:val="008027C5"/>
    <w:rsid w:val="00804908"/>
    <w:rsid w:val="0080659D"/>
    <w:rsid w:val="00806EF8"/>
    <w:rsid w:val="008137FC"/>
    <w:rsid w:val="0081415D"/>
    <w:rsid w:val="008157DF"/>
    <w:rsid w:val="008205FA"/>
    <w:rsid w:val="00821086"/>
    <w:rsid w:val="00822557"/>
    <w:rsid w:val="00823888"/>
    <w:rsid w:val="0082391D"/>
    <w:rsid w:val="00823BDE"/>
    <w:rsid w:val="008260D9"/>
    <w:rsid w:val="00826D99"/>
    <w:rsid w:val="00827AA8"/>
    <w:rsid w:val="00831A43"/>
    <w:rsid w:val="00831F7A"/>
    <w:rsid w:val="00832EA6"/>
    <w:rsid w:val="00836506"/>
    <w:rsid w:val="00843365"/>
    <w:rsid w:val="0084740F"/>
    <w:rsid w:val="008506BA"/>
    <w:rsid w:val="0085213B"/>
    <w:rsid w:val="008531BC"/>
    <w:rsid w:val="0085423A"/>
    <w:rsid w:val="0085491F"/>
    <w:rsid w:val="00854B96"/>
    <w:rsid w:val="00855231"/>
    <w:rsid w:val="00855B61"/>
    <w:rsid w:val="0085646B"/>
    <w:rsid w:val="00860F03"/>
    <w:rsid w:val="00861E8D"/>
    <w:rsid w:val="00863EF4"/>
    <w:rsid w:val="008650AF"/>
    <w:rsid w:val="0086528E"/>
    <w:rsid w:val="008718D6"/>
    <w:rsid w:val="00871E46"/>
    <w:rsid w:val="00872ECD"/>
    <w:rsid w:val="008730A0"/>
    <w:rsid w:val="008827A3"/>
    <w:rsid w:val="008850F9"/>
    <w:rsid w:val="0089005C"/>
    <w:rsid w:val="0089057D"/>
    <w:rsid w:val="0089186D"/>
    <w:rsid w:val="00894D94"/>
    <w:rsid w:val="00897B74"/>
    <w:rsid w:val="008A026C"/>
    <w:rsid w:val="008A1248"/>
    <w:rsid w:val="008A1CA5"/>
    <w:rsid w:val="008B1EF1"/>
    <w:rsid w:val="008B257F"/>
    <w:rsid w:val="008B3FB7"/>
    <w:rsid w:val="008B5A87"/>
    <w:rsid w:val="008B63CD"/>
    <w:rsid w:val="008C0CDB"/>
    <w:rsid w:val="008C180F"/>
    <w:rsid w:val="008C186D"/>
    <w:rsid w:val="008C1F5B"/>
    <w:rsid w:val="008C220C"/>
    <w:rsid w:val="008C3A56"/>
    <w:rsid w:val="008C5924"/>
    <w:rsid w:val="008C6CF6"/>
    <w:rsid w:val="008C6DD6"/>
    <w:rsid w:val="008C7263"/>
    <w:rsid w:val="008C75F5"/>
    <w:rsid w:val="008D415A"/>
    <w:rsid w:val="008E00A5"/>
    <w:rsid w:val="008E03FB"/>
    <w:rsid w:val="008E21A7"/>
    <w:rsid w:val="008E2D4C"/>
    <w:rsid w:val="008E53B7"/>
    <w:rsid w:val="008E56FC"/>
    <w:rsid w:val="008E5D15"/>
    <w:rsid w:val="008F17BB"/>
    <w:rsid w:val="008F4FBF"/>
    <w:rsid w:val="008F5023"/>
    <w:rsid w:val="008F57C5"/>
    <w:rsid w:val="008F75B6"/>
    <w:rsid w:val="00902BD3"/>
    <w:rsid w:val="00905702"/>
    <w:rsid w:val="00907757"/>
    <w:rsid w:val="00907898"/>
    <w:rsid w:val="009108B8"/>
    <w:rsid w:val="009123CB"/>
    <w:rsid w:val="00912989"/>
    <w:rsid w:val="00912DD5"/>
    <w:rsid w:val="009145E9"/>
    <w:rsid w:val="009179FE"/>
    <w:rsid w:val="00920B8D"/>
    <w:rsid w:val="00922FDF"/>
    <w:rsid w:val="0092706B"/>
    <w:rsid w:val="0092758D"/>
    <w:rsid w:val="00931EC1"/>
    <w:rsid w:val="00932282"/>
    <w:rsid w:val="009326B0"/>
    <w:rsid w:val="00933A1A"/>
    <w:rsid w:val="00935028"/>
    <w:rsid w:val="009354E1"/>
    <w:rsid w:val="009409DB"/>
    <w:rsid w:val="009410DF"/>
    <w:rsid w:val="00944D27"/>
    <w:rsid w:val="00946686"/>
    <w:rsid w:val="00953E33"/>
    <w:rsid w:val="00954E03"/>
    <w:rsid w:val="00954FAD"/>
    <w:rsid w:val="00957088"/>
    <w:rsid w:val="00964E1F"/>
    <w:rsid w:val="00967ACE"/>
    <w:rsid w:val="00967FB1"/>
    <w:rsid w:val="00970121"/>
    <w:rsid w:val="00977310"/>
    <w:rsid w:val="00984819"/>
    <w:rsid w:val="00985FD8"/>
    <w:rsid w:val="00987B48"/>
    <w:rsid w:val="00991DC3"/>
    <w:rsid w:val="0099359A"/>
    <w:rsid w:val="00993B19"/>
    <w:rsid w:val="0099510E"/>
    <w:rsid w:val="0099567F"/>
    <w:rsid w:val="00995EBE"/>
    <w:rsid w:val="009967C1"/>
    <w:rsid w:val="009A546F"/>
    <w:rsid w:val="009A6B97"/>
    <w:rsid w:val="009A6CD4"/>
    <w:rsid w:val="009B12B1"/>
    <w:rsid w:val="009B218D"/>
    <w:rsid w:val="009B3930"/>
    <w:rsid w:val="009B6C91"/>
    <w:rsid w:val="009C0613"/>
    <w:rsid w:val="009C1225"/>
    <w:rsid w:val="009C5B74"/>
    <w:rsid w:val="009C7AF2"/>
    <w:rsid w:val="009C7D9C"/>
    <w:rsid w:val="009D0242"/>
    <w:rsid w:val="009D043F"/>
    <w:rsid w:val="009D0531"/>
    <w:rsid w:val="009D0DAF"/>
    <w:rsid w:val="009D1927"/>
    <w:rsid w:val="009D36F9"/>
    <w:rsid w:val="009D748A"/>
    <w:rsid w:val="009D7849"/>
    <w:rsid w:val="009D7AD5"/>
    <w:rsid w:val="009E15B9"/>
    <w:rsid w:val="009E2338"/>
    <w:rsid w:val="009E3D19"/>
    <w:rsid w:val="009E614D"/>
    <w:rsid w:val="009E7E7B"/>
    <w:rsid w:val="009F2775"/>
    <w:rsid w:val="009F47B4"/>
    <w:rsid w:val="009F63A5"/>
    <w:rsid w:val="009F775F"/>
    <w:rsid w:val="009F77A9"/>
    <w:rsid w:val="00A1279F"/>
    <w:rsid w:val="00A137B1"/>
    <w:rsid w:val="00A15A62"/>
    <w:rsid w:val="00A15EBE"/>
    <w:rsid w:val="00A16843"/>
    <w:rsid w:val="00A16A97"/>
    <w:rsid w:val="00A16E6F"/>
    <w:rsid w:val="00A20CBA"/>
    <w:rsid w:val="00A21277"/>
    <w:rsid w:val="00A22F4D"/>
    <w:rsid w:val="00A240F1"/>
    <w:rsid w:val="00A24371"/>
    <w:rsid w:val="00A257AF"/>
    <w:rsid w:val="00A25B78"/>
    <w:rsid w:val="00A27294"/>
    <w:rsid w:val="00A303B2"/>
    <w:rsid w:val="00A350AB"/>
    <w:rsid w:val="00A41C8A"/>
    <w:rsid w:val="00A43511"/>
    <w:rsid w:val="00A43AE9"/>
    <w:rsid w:val="00A442A5"/>
    <w:rsid w:val="00A45B28"/>
    <w:rsid w:val="00A46BE1"/>
    <w:rsid w:val="00A478DC"/>
    <w:rsid w:val="00A53128"/>
    <w:rsid w:val="00A5364F"/>
    <w:rsid w:val="00A54204"/>
    <w:rsid w:val="00A54DF7"/>
    <w:rsid w:val="00A64900"/>
    <w:rsid w:val="00A704E0"/>
    <w:rsid w:val="00A72D47"/>
    <w:rsid w:val="00A732C1"/>
    <w:rsid w:val="00A738E5"/>
    <w:rsid w:val="00A84137"/>
    <w:rsid w:val="00A84B28"/>
    <w:rsid w:val="00A85250"/>
    <w:rsid w:val="00A85298"/>
    <w:rsid w:val="00A85AFC"/>
    <w:rsid w:val="00A86058"/>
    <w:rsid w:val="00A93689"/>
    <w:rsid w:val="00A94687"/>
    <w:rsid w:val="00A94BF6"/>
    <w:rsid w:val="00A96185"/>
    <w:rsid w:val="00A96B58"/>
    <w:rsid w:val="00A97CE5"/>
    <w:rsid w:val="00AA0008"/>
    <w:rsid w:val="00AA07ED"/>
    <w:rsid w:val="00AA353B"/>
    <w:rsid w:val="00AB1596"/>
    <w:rsid w:val="00AB1D34"/>
    <w:rsid w:val="00AB1FD4"/>
    <w:rsid w:val="00AB3088"/>
    <w:rsid w:val="00AB7055"/>
    <w:rsid w:val="00AC484F"/>
    <w:rsid w:val="00AC50A1"/>
    <w:rsid w:val="00AC58B4"/>
    <w:rsid w:val="00AD5CF1"/>
    <w:rsid w:val="00AD7213"/>
    <w:rsid w:val="00AE2BC1"/>
    <w:rsid w:val="00AE5058"/>
    <w:rsid w:val="00AE6B6A"/>
    <w:rsid w:val="00AF0820"/>
    <w:rsid w:val="00AF1171"/>
    <w:rsid w:val="00AF177E"/>
    <w:rsid w:val="00AF4A63"/>
    <w:rsid w:val="00AF7A01"/>
    <w:rsid w:val="00B04C26"/>
    <w:rsid w:val="00B12726"/>
    <w:rsid w:val="00B13772"/>
    <w:rsid w:val="00B13BC9"/>
    <w:rsid w:val="00B141EB"/>
    <w:rsid w:val="00B16A79"/>
    <w:rsid w:val="00B20357"/>
    <w:rsid w:val="00B21149"/>
    <w:rsid w:val="00B3105C"/>
    <w:rsid w:val="00B32F57"/>
    <w:rsid w:val="00B356FB"/>
    <w:rsid w:val="00B37D05"/>
    <w:rsid w:val="00B44363"/>
    <w:rsid w:val="00B445FC"/>
    <w:rsid w:val="00B46B2F"/>
    <w:rsid w:val="00B50469"/>
    <w:rsid w:val="00B510FA"/>
    <w:rsid w:val="00B511C2"/>
    <w:rsid w:val="00B51355"/>
    <w:rsid w:val="00B51888"/>
    <w:rsid w:val="00B51B09"/>
    <w:rsid w:val="00B5259B"/>
    <w:rsid w:val="00B53424"/>
    <w:rsid w:val="00B62B53"/>
    <w:rsid w:val="00B6467F"/>
    <w:rsid w:val="00B64876"/>
    <w:rsid w:val="00B649E1"/>
    <w:rsid w:val="00B655A1"/>
    <w:rsid w:val="00B666C8"/>
    <w:rsid w:val="00B67D43"/>
    <w:rsid w:val="00B77C72"/>
    <w:rsid w:val="00B834E0"/>
    <w:rsid w:val="00B8398F"/>
    <w:rsid w:val="00B84C38"/>
    <w:rsid w:val="00B85637"/>
    <w:rsid w:val="00B87347"/>
    <w:rsid w:val="00B90215"/>
    <w:rsid w:val="00B91476"/>
    <w:rsid w:val="00B93948"/>
    <w:rsid w:val="00B9490D"/>
    <w:rsid w:val="00B975C5"/>
    <w:rsid w:val="00BA341A"/>
    <w:rsid w:val="00BA583A"/>
    <w:rsid w:val="00BA67F3"/>
    <w:rsid w:val="00BA74E7"/>
    <w:rsid w:val="00BB2F17"/>
    <w:rsid w:val="00BB3030"/>
    <w:rsid w:val="00BB3ADF"/>
    <w:rsid w:val="00BB6241"/>
    <w:rsid w:val="00BC14CF"/>
    <w:rsid w:val="00BC1D8F"/>
    <w:rsid w:val="00BD2400"/>
    <w:rsid w:val="00BD3EB4"/>
    <w:rsid w:val="00BD4ECA"/>
    <w:rsid w:val="00BE232D"/>
    <w:rsid w:val="00BE38B6"/>
    <w:rsid w:val="00BE653F"/>
    <w:rsid w:val="00BE6FDF"/>
    <w:rsid w:val="00BF2E37"/>
    <w:rsid w:val="00BF4538"/>
    <w:rsid w:val="00BF4C88"/>
    <w:rsid w:val="00BF54E8"/>
    <w:rsid w:val="00C0096B"/>
    <w:rsid w:val="00C0156B"/>
    <w:rsid w:val="00C04BA7"/>
    <w:rsid w:val="00C13010"/>
    <w:rsid w:val="00C2209E"/>
    <w:rsid w:val="00C236A2"/>
    <w:rsid w:val="00C25ABC"/>
    <w:rsid w:val="00C26DED"/>
    <w:rsid w:val="00C30AC3"/>
    <w:rsid w:val="00C30FE1"/>
    <w:rsid w:val="00C35798"/>
    <w:rsid w:val="00C371CC"/>
    <w:rsid w:val="00C403BE"/>
    <w:rsid w:val="00C40A1F"/>
    <w:rsid w:val="00C4158B"/>
    <w:rsid w:val="00C415C9"/>
    <w:rsid w:val="00C41B02"/>
    <w:rsid w:val="00C421B3"/>
    <w:rsid w:val="00C47909"/>
    <w:rsid w:val="00C47D02"/>
    <w:rsid w:val="00C52DB9"/>
    <w:rsid w:val="00C5330C"/>
    <w:rsid w:val="00C53B07"/>
    <w:rsid w:val="00C54B35"/>
    <w:rsid w:val="00C565FD"/>
    <w:rsid w:val="00C626DB"/>
    <w:rsid w:val="00C67CAF"/>
    <w:rsid w:val="00C73689"/>
    <w:rsid w:val="00C73DF0"/>
    <w:rsid w:val="00C75277"/>
    <w:rsid w:val="00C75A97"/>
    <w:rsid w:val="00C83FE1"/>
    <w:rsid w:val="00C8579E"/>
    <w:rsid w:val="00C85C0F"/>
    <w:rsid w:val="00C926D4"/>
    <w:rsid w:val="00C9271B"/>
    <w:rsid w:val="00C934E0"/>
    <w:rsid w:val="00C93993"/>
    <w:rsid w:val="00C963FD"/>
    <w:rsid w:val="00C96F6B"/>
    <w:rsid w:val="00CA1948"/>
    <w:rsid w:val="00CA2540"/>
    <w:rsid w:val="00CA6E59"/>
    <w:rsid w:val="00CB0548"/>
    <w:rsid w:val="00CB1F4F"/>
    <w:rsid w:val="00CB2AE8"/>
    <w:rsid w:val="00CB2FB7"/>
    <w:rsid w:val="00CB3B06"/>
    <w:rsid w:val="00CB4034"/>
    <w:rsid w:val="00CB6B47"/>
    <w:rsid w:val="00CB7B39"/>
    <w:rsid w:val="00CC4D68"/>
    <w:rsid w:val="00CC6894"/>
    <w:rsid w:val="00CD1BDA"/>
    <w:rsid w:val="00CD4118"/>
    <w:rsid w:val="00CE3CA9"/>
    <w:rsid w:val="00CE4A81"/>
    <w:rsid w:val="00CE5665"/>
    <w:rsid w:val="00CE6CEB"/>
    <w:rsid w:val="00CE6CF2"/>
    <w:rsid w:val="00CE715A"/>
    <w:rsid w:val="00CE75E6"/>
    <w:rsid w:val="00CE7FAF"/>
    <w:rsid w:val="00CF28C8"/>
    <w:rsid w:val="00CF6C44"/>
    <w:rsid w:val="00CF6FB0"/>
    <w:rsid w:val="00CF7213"/>
    <w:rsid w:val="00D000CF"/>
    <w:rsid w:val="00D03C7A"/>
    <w:rsid w:val="00D1014D"/>
    <w:rsid w:val="00D11849"/>
    <w:rsid w:val="00D13D2A"/>
    <w:rsid w:val="00D226F2"/>
    <w:rsid w:val="00D25F80"/>
    <w:rsid w:val="00D311DC"/>
    <w:rsid w:val="00D32901"/>
    <w:rsid w:val="00D35E5D"/>
    <w:rsid w:val="00D36E70"/>
    <w:rsid w:val="00D40A36"/>
    <w:rsid w:val="00D42BAB"/>
    <w:rsid w:val="00D43D1C"/>
    <w:rsid w:val="00D455D2"/>
    <w:rsid w:val="00D45CD0"/>
    <w:rsid w:val="00D51E48"/>
    <w:rsid w:val="00D539E5"/>
    <w:rsid w:val="00D5425F"/>
    <w:rsid w:val="00D60238"/>
    <w:rsid w:val="00D61933"/>
    <w:rsid w:val="00D61A06"/>
    <w:rsid w:val="00D648B4"/>
    <w:rsid w:val="00D65FB2"/>
    <w:rsid w:val="00D72DA9"/>
    <w:rsid w:val="00D72E13"/>
    <w:rsid w:val="00D740A6"/>
    <w:rsid w:val="00D81DFD"/>
    <w:rsid w:val="00D82453"/>
    <w:rsid w:val="00D83F7E"/>
    <w:rsid w:val="00D851CE"/>
    <w:rsid w:val="00D8613D"/>
    <w:rsid w:val="00D86438"/>
    <w:rsid w:val="00D86C2E"/>
    <w:rsid w:val="00D97724"/>
    <w:rsid w:val="00DA2C8B"/>
    <w:rsid w:val="00DA5527"/>
    <w:rsid w:val="00DA5B7B"/>
    <w:rsid w:val="00DB0DDB"/>
    <w:rsid w:val="00DB1477"/>
    <w:rsid w:val="00DB7874"/>
    <w:rsid w:val="00DC057A"/>
    <w:rsid w:val="00DC3114"/>
    <w:rsid w:val="00DC4F8D"/>
    <w:rsid w:val="00DC7DFE"/>
    <w:rsid w:val="00DD11C8"/>
    <w:rsid w:val="00DD1720"/>
    <w:rsid w:val="00DD2026"/>
    <w:rsid w:val="00DD3911"/>
    <w:rsid w:val="00DD52AE"/>
    <w:rsid w:val="00DD7095"/>
    <w:rsid w:val="00DD7AB0"/>
    <w:rsid w:val="00DD7C91"/>
    <w:rsid w:val="00DE3AB2"/>
    <w:rsid w:val="00DE659A"/>
    <w:rsid w:val="00DF20B4"/>
    <w:rsid w:val="00DF50C5"/>
    <w:rsid w:val="00E05419"/>
    <w:rsid w:val="00E06046"/>
    <w:rsid w:val="00E12E6B"/>
    <w:rsid w:val="00E15E38"/>
    <w:rsid w:val="00E16591"/>
    <w:rsid w:val="00E16864"/>
    <w:rsid w:val="00E174E7"/>
    <w:rsid w:val="00E17CF9"/>
    <w:rsid w:val="00E22615"/>
    <w:rsid w:val="00E250FC"/>
    <w:rsid w:val="00E326EB"/>
    <w:rsid w:val="00E32E16"/>
    <w:rsid w:val="00E32EA7"/>
    <w:rsid w:val="00E35CF1"/>
    <w:rsid w:val="00E3637B"/>
    <w:rsid w:val="00E408C4"/>
    <w:rsid w:val="00E414C8"/>
    <w:rsid w:val="00E414D5"/>
    <w:rsid w:val="00E4293D"/>
    <w:rsid w:val="00E44023"/>
    <w:rsid w:val="00E440B0"/>
    <w:rsid w:val="00E46020"/>
    <w:rsid w:val="00E468A3"/>
    <w:rsid w:val="00E5145A"/>
    <w:rsid w:val="00E52150"/>
    <w:rsid w:val="00E559DC"/>
    <w:rsid w:val="00E5619F"/>
    <w:rsid w:val="00E61937"/>
    <w:rsid w:val="00E62BC9"/>
    <w:rsid w:val="00E66DD5"/>
    <w:rsid w:val="00E70796"/>
    <w:rsid w:val="00E70AA2"/>
    <w:rsid w:val="00E72F4E"/>
    <w:rsid w:val="00E7737B"/>
    <w:rsid w:val="00E81F08"/>
    <w:rsid w:val="00E82A95"/>
    <w:rsid w:val="00E83026"/>
    <w:rsid w:val="00E830DB"/>
    <w:rsid w:val="00E859CC"/>
    <w:rsid w:val="00E85B61"/>
    <w:rsid w:val="00E87985"/>
    <w:rsid w:val="00E95713"/>
    <w:rsid w:val="00E959F1"/>
    <w:rsid w:val="00EA1760"/>
    <w:rsid w:val="00EA17A1"/>
    <w:rsid w:val="00EA3598"/>
    <w:rsid w:val="00EA4FED"/>
    <w:rsid w:val="00EA7FCC"/>
    <w:rsid w:val="00EB3314"/>
    <w:rsid w:val="00EB43EB"/>
    <w:rsid w:val="00EB465E"/>
    <w:rsid w:val="00EB48F8"/>
    <w:rsid w:val="00EB5363"/>
    <w:rsid w:val="00EB689C"/>
    <w:rsid w:val="00EC4504"/>
    <w:rsid w:val="00EC5D85"/>
    <w:rsid w:val="00EC5DAB"/>
    <w:rsid w:val="00EC7661"/>
    <w:rsid w:val="00ED0BFD"/>
    <w:rsid w:val="00ED1E14"/>
    <w:rsid w:val="00ED4970"/>
    <w:rsid w:val="00ED5FC9"/>
    <w:rsid w:val="00ED6748"/>
    <w:rsid w:val="00EE0597"/>
    <w:rsid w:val="00EF0FAD"/>
    <w:rsid w:val="00EF16C6"/>
    <w:rsid w:val="00EF549E"/>
    <w:rsid w:val="00EF69C4"/>
    <w:rsid w:val="00EF6FC3"/>
    <w:rsid w:val="00F04366"/>
    <w:rsid w:val="00F05DCF"/>
    <w:rsid w:val="00F05F10"/>
    <w:rsid w:val="00F104A2"/>
    <w:rsid w:val="00F107BA"/>
    <w:rsid w:val="00F12E0D"/>
    <w:rsid w:val="00F151CC"/>
    <w:rsid w:val="00F16E81"/>
    <w:rsid w:val="00F20BDE"/>
    <w:rsid w:val="00F210AE"/>
    <w:rsid w:val="00F22907"/>
    <w:rsid w:val="00F233B1"/>
    <w:rsid w:val="00F23F2A"/>
    <w:rsid w:val="00F24B83"/>
    <w:rsid w:val="00F24DBF"/>
    <w:rsid w:val="00F253F0"/>
    <w:rsid w:val="00F26329"/>
    <w:rsid w:val="00F2753B"/>
    <w:rsid w:val="00F308C4"/>
    <w:rsid w:val="00F31403"/>
    <w:rsid w:val="00F331F9"/>
    <w:rsid w:val="00F3498A"/>
    <w:rsid w:val="00F34E3E"/>
    <w:rsid w:val="00F351F8"/>
    <w:rsid w:val="00F368EE"/>
    <w:rsid w:val="00F36CD1"/>
    <w:rsid w:val="00F3722F"/>
    <w:rsid w:val="00F4019A"/>
    <w:rsid w:val="00F433DE"/>
    <w:rsid w:val="00F44C4F"/>
    <w:rsid w:val="00F4521F"/>
    <w:rsid w:val="00F4767A"/>
    <w:rsid w:val="00F5199B"/>
    <w:rsid w:val="00F532F9"/>
    <w:rsid w:val="00F56653"/>
    <w:rsid w:val="00F57C53"/>
    <w:rsid w:val="00F600B6"/>
    <w:rsid w:val="00F601CF"/>
    <w:rsid w:val="00F63AA1"/>
    <w:rsid w:val="00F673EC"/>
    <w:rsid w:val="00F70431"/>
    <w:rsid w:val="00F7586C"/>
    <w:rsid w:val="00F77C92"/>
    <w:rsid w:val="00F80DBD"/>
    <w:rsid w:val="00F82590"/>
    <w:rsid w:val="00F834EE"/>
    <w:rsid w:val="00F92134"/>
    <w:rsid w:val="00F94AF2"/>
    <w:rsid w:val="00F95C0E"/>
    <w:rsid w:val="00FA05D8"/>
    <w:rsid w:val="00FA10E5"/>
    <w:rsid w:val="00FA30D2"/>
    <w:rsid w:val="00FA3E8B"/>
    <w:rsid w:val="00FB08F7"/>
    <w:rsid w:val="00FB357A"/>
    <w:rsid w:val="00FC3735"/>
    <w:rsid w:val="00FD1995"/>
    <w:rsid w:val="00FD3CCA"/>
    <w:rsid w:val="00FD43BB"/>
    <w:rsid w:val="00FD45A5"/>
    <w:rsid w:val="00FD56A4"/>
    <w:rsid w:val="00FD5BC1"/>
    <w:rsid w:val="00FD7920"/>
    <w:rsid w:val="00FD796A"/>
    <w:rsid w:val="00FE06D8"/>
    <w:rsid w:val="00FE2DE3"/>
    <w:rsid w:val="00FE3C5D"/>
    <w:rsid w:val="00FE631A"/>
    <w:rsid w:val="00FE6756"/>
    <w:rsid w:val="00FE712E"/>
    <w:rsid w:val="00FE72BE"/>
    <w:rsid w:val="00FF2232"/>
    <w:rsid w:val="00FF27E4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2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F2232"/>
  </w:style>
  <w:style w:type="character" w:styleId="Hyperlink">
    <w:name w:val="Hyperlink"/>
    <w:basedOn w:val="DefaultParagraphFont"/>
    <w:rsid w:val="00FF2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D4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"/>
    <w:basedOn w:val="Normal"/>
    <w:rsid w:val="00446F4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5C07F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0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8ECC-0F75-45A8-B410-116A2D5B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13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G.Milanovac</Company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tomislav.joksic</dc:creator>
  <cp:keywords/>
  <dc:description/>
  <cp:lastModifiedBy>tomislav.joksic</cp:lastModifiedBy>
  <cp:revision>993</cp:revision>
  <cp:lastPrinted>2017-08-04T11:53:00Z</cp:lastPrinted>
  <dcterms:created xsi:type="dcterms:W3CDTF">2012-08-10T12:37:00Z</dcterms:created>
  <dcterms:modified xsi:type="dcterms:W3CDTF">2018-08-07T13:17:00Z</dcterms:modified>
</cp:coreProperties>
</file>