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DF" w:rsidRDefault="006930DF" w:rsidP="00E26A52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Република Србија</w:t>
      </w:r>
    </w:p>
    <w:p w:rsidR="006930DF" w:rsidRPr="006930DF" w:rsidRDefault="006930DF" w:rsidP="00E26A52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Општина Горњи Милановац</w:t>
      </w:r>
    </w:p>
    <w:p w:rsidR="006930DF" w:rsidRPr="00E26A52" w:rsidRDefault="00E26A52" w:rsidP="00E26A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Општинска управа</w:t>
      </w:r>
    </w:p>
    <w:p w:rsidR="006930DF" w:rsidRDefault="006930DF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6930DF" w:rsidRDefault="006930DF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A64900" w:rsidRDefault="00A64900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A64900" w:rsidRDefault="00A64900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6930DF" w:rsidRDefault="006930DF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6930DF" w:rsidRDefault="006930DF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726C64" w:rsidRDefault="00726C64" w:rsidP="008730A0">
      <w:pPr>
        <w:spacing w:line="360" w:lineRule="auto"/>
        <w:jc w:val="center"/>
        <w:rPr>
          <w:b/>
          <w:sz w:val="56"/>
          <w:szCs w:val="56"/>
          <w:lang w:val="sr-Cyrl-CS"/>
        </w:rPr>
      </w:pPr>
    </w:p>
    <w:p w:rsidR="00726C64" w:rsidRPr="00CA6931" w:rsidRDefault="00FF2232" w:rsidP="003F0811">
      <w:pPr>
        <w:spacing w:before="240" w:after="240"/>
        <w:jc w:val="center"/>
        <w:rPr>
          <w:b/>
          <w:i/>
          <w:sz w:val="56"/>
          <w:szCs w:val="56"/>
          <w:lang w:val="sr-Cyrl-CS"/>
        </w:rPr>
      </w:pPr>
      <w:r w:rsidRPr="00CA6931">
        <w:rPr>
          <w:b/>
          <w:i/>
          <w:sz w:val="56"/>
          <w:szCs w:val="56"/>
          <w:lang w:val="sr-Cyrl-CS"/>
        </w:rPr>
        <w:t xml:space="preserve">УПУТСТВО </w:t>
      </w:r>
    </w:p>
    <w:p w:rsidR="00FF2232" w:rsidRPr="00CA6931" w:rsidRDefault="00FF2232" w:rsidP="003F0811">
      <w:pPr>
        <w:spacing w:before="240" w:after="240"/>
        <w:jc w:val="center"/>
        <w:rPr>
          <w:b/>
          <w:i/>
          <w:sz w:val="40"/>
          <w:szCs w:val="40"/>
          <w:lang w:val="sr-Cyrl-CS"/>
        </w:rPr>
      </w:pPr>
      <w:r w:rsidRPr="00CA6931">
        <w:rPr>
          <w:b/>
          <w:i/>
          <w:sz w:val="40"/>
          <w:szCs w:val="40"/>
          <w:lang w:val="sr-Cyrl-CS"/>
        </w:rPr>
        <w:t xml:space="preserve">ЗА ПРИПРЕМУ БУЏЕТА ОПШТИНЕ </w:t>
      </w:r>
      <w:r w:rsidR="00CA6931">
        <w:rPr>
          <w:b/>
          <w:i/>
          <w:sz w:val="40"/>
          <w:szCs w:val="40"/>
          <w:lang w:val="sr-Cyrl-CS"/>
        </w:rPr>
        <w:t xml:space="preserve">ГОРЊИ </w:t>
      </w:r>
      <w:r w:rsidRPr="00CA6931">
        <w:rPr>
          <w:b/>
          <w:i/>
          <w:sz w:val="40"/>
          <w:szCs w:val="40"/>
          <w:lang w:val="sr-Cyrl-CS"/>
        </w:rPr>
        <w:t>МИЛАНОВАЦ ЗА 20</w:t>
      </w:r>
      <w:r w:rsidR="00330D52" w:rsidRPr="00CA6931">
        <w:rPr>
          <w:b/>
          <w:i/>
          <w:sz w:val="40"/>
          <w:szCs w:val="40"/>
        </w:rPr>
        <w:t>2</w:t>
      </w:r>
      <w:r w:rsidR="00232F5C" w:rsidRPr="00CA6931">
        <w:rPr>
          <w:b/>
          <w:i/>
          <w:sz w:val="40"/>
          <w:szCs w:val="40"/>
        </w:rPr>
        <w:t>2</w:t>
      </w:r>
      <w:r w:rsidRPr="00CA6931">
        <w:rPr>
          <w:b/>
          <w:i/>
          <w:sz w:val="40"/>
          <w:szCs w:val="40"/>
          <w:lang w:val="sr-Cyrl-CS"/>
        </w:rPr>
        <w:t>. ГОДИНУ</w:t>
      </w:r>
    </w:p>
    <w:p w:rsidR="006930DF" w:rsidRPr="006930DF" w:rsidRDefault="006930DF" w:rsidP="003F0811">
      <w:pPr>
        <w:jc w:val="center"/>
        <w:rPr>
          <w:b/>
          <w:sz w:val="40"/>
          <w:szCs w:val="40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726C64">
      <w:pPr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726C64">
      <w:pPr>
        <w:rPr>
          <w:b/>
          <w:sz w:val="28"/>
          <w:szCs w:val="28"/>
          <w:lang w:val="sr-Cyrl-CS"/>
        </w:rPr>
      </w:pPr>
    </w:p>
    <w:p w:rsidR="006930DF" w:rsidRPr="00721E71" w:rsidRDefault="009F2BA1" w:rsidP="00873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5234F">
        <w:rPr>
          <w:b/>
          <w:sz w:val="28"/>
          <w:szCs w:val="28"/>
        </w:rPr>
        <w:t>8</w:t>
      </w:r>
      <w:r w:rsidR="008205FA">
        <w:rPr>
          <w:b/>
          <w:sz w:val="28"/>
          <w:szCs w:val="28"/>
          <w:lang w:val="sr-Cyrl-CS"/>
        </w:rPr>
        <w:t>. јул 20</w:t>
      </w:r>
      <w:r w:rsidR="00330D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6930DF">
        <w:rPr>
          <w:b/>
          <w:sz w:val="28"/>
          <w:szCs w:val="28"/>
          <w:lang w:val="sr-Cyrl-CS"/>
        </w:rPr>
        <w:t>. године</w:t>
      </w: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Горњи Милановац</w:t>
      </w:r>
    </w:p>
    <w:p w:rsidR="00721459" w:rsidRPr="00900064" w:rsidRDefault="00721459" w:rsidP="00900064">
      <w:pPr>
        <w:jc w:val="both"/>
        <w:rPr>
          <w:i/>
        </w:rPr>
      </w:pPr>
    </w:p>
    <w:p w:rsidR="007B0AC7" w:rsidRDefault="00FF2232" w:rsidP="003F0811">
      <w:pPr>
        <w:ind w:firstLine="720"/>
        <w:jc w:val="both"/>
      </w:pPr>
      <w:r w:rsidRPr="002F3F26">
        <w:rPr>
          <w:lang w:val="sr-Cyrl-CS"/>
        </w:rPr>
        <w:lastRenderedPageBreak/>
        <w:t xml:space="preserve">Поступак припреме и доношења буџета локалне власти уређен је </w:t>
      </w:r>
      <w:r w:rsidR="00372EBC" w:rsidRPr="002F3F26">
        <w:rPr>
          <w:lang w:val="ru-RU"/>
        </w:rPr>
        <w:t>Закон</w:t>
      </w:r>
      <w:r w:rsidR="00372EBC" w:rsidRPr="002F3F26">
        <w:t>o</w:t>
      </w:r>
      <w:r w:rsidR="00372EBC" w:rsidRPr="002F3F26">
        <w:rPr>
          <w:lang w:val="sr-Cyrl-CS"/>
        </w:rPr>
        <w:t>м</w:t>
      </w:r>
      <w:r w:rsidR="00372EBC" w:rsidRPr="002F3F26">
        <w:rPr>
          <w:lang w:val="ru-RU"/>
        </w:rPr>
        <w:t xml:space="preserve"> о буџетском систему </w:t>
      </w:r>
      <w:r w:rsidR="0080659D" w:rsidRPr="002F3F26">
        <w:t xml:space="preserve">систему </w:t>
      </w:r>
      <w:r w:rsidR="00284E20" w:rsidRPr="0078139E">
        <w:t>(„Сл.гл</w:t>
      </w:r>
      <w:r w:rsidR="00284E20" w:rsidRPr="0078139E">
        <w:rPr>
          <w:lang w:val="sr-Cyrl-CS"/>
        </w:rPr>
        <w:t xml:space="preserve">асник </w:t>
      </w:r>
      <w:r w:rsidR="00284E20" w:rsidRPr="0078139E">
        <w:t>РС“,</w:t>
      </w:r>
      <w:r w:rsidR="00284E20" w:rsidRPr="0078139E">
        <w:rPr>
          <w:lang w:val="sr-Cyrl-CS"/>
        </w:rPr>
        <w:t xml:space="preserve"> </w:t>
      </w:r>
      <w:r w:rsidR="00284E20" w:rsidRPr="0078139E">
        <w:t>бр</w:t>
      </w:r>
      <w:r w:rsidR="00284E20" w:rsidRPr="0078139E">
        <w:rPr>
          <w:lang w:val="sr-Cyrl-CS"/>
        </w:rPr>
        <w:t xml:space="preserve">ој </w:t>
      </w:r>
      <w:r w:rsidR="00284E20" w:rsidRPr="0078139E">
        <w:t>54/</w:t>
      </w:r>
      <w:r w:rsidR="00284E20" w:rsidRPr="0078139E">
        <w:rPr>
          <w:lang w:val="sr-Cyrl-CS"/>
        </w:rPr>
        <w:t>20</w:t>
      </w:r>
      <w:r w:rsidR="00284E20" w:rsidRPr="0078139E">
        <w:t>09</w:t>
      </w:r>
      <w:r w:rsidR="00284E20" w:rsidRPr="0078139E">
        <w:rPr>
          <w:lang w:val="sr-Cyrl-CS"/>
        </w:rPr>
        <w:t>,</w:t>
      </w:r>
      <w:r w:rsidR="00284E20" w:rsidRPr="0078139E">
        <w:t xml:space="preserve"> 73/2010</w:t>
      </w:r>
      <w:r w:rsidR="00284E20" w:rsidRPr="0078139E">
        <w:rPr>
          <w:lang w:val="sr-Cyrl-CS"/>
        </w:rPr>
        <w:t xml:space="preserve">, 101/2010, 101/2011, 93/2012, 62/2013, 63/2013–испр, 108/2013, </w:t>
      </w:r>
      <w:r w:rsidR="00284E20" w:rsidRPr="0078139E">
        <w:t>142/2014, 68/2015</w:t>
      </w:r>
      <w:r w:rsidR="00434E9B">
        <w:t xml:space="preserve"> </w:t>
      </w:r>
      <w:r w:rsidR="00284E20" w:rsidRPr="0078139E">
        <w:t>- др.закон, 103/2015, 99/2016</w:t>
      </w:r>
      <w:r w:rsidR="00284E20">
        <w:t xml:space="preserve">, </w:t>
      </w:r>
      <w:r w:rsidR="00284E20" w:rsidRPr="004D3220">
        <w:t>113/</w:t>
      </w:r>
      <w:r w:rsidR="00284E20" w:rsidRPr="005F31E9">
        <w:t>201</w:t>
      </w:r>
      <w:r w:rsidR="007D0EA8">
        <w:t>7, 95/2018,</w:t>
      </w:r>
      <w:r w:rsidR="00284E20" w:rsidRPr="005F31E9">
        <w:t xml:space="preserve"> 31/2019</w:t>
      </w:r>
      <w:r w:rsidR="00FC5AC7">
        <w:t xml:space="preserve">, </w:t>
      </w:r>
      <w:r w:rsidR="007D0EA8">
        <w:t>72/2019</w:t>
      </w:r>
      <w:r w:rsidR="00717BE9">
        <w:t xml:space="preserve"> и 149/2020</w:t>
      </w:r>
      <w:r w:rsidR="00284E20" w:rsidRPr="005F31E9">
        <w:t>)</w:t>
      </w:r>
      <w:r w:rsidR="00284E20">
        <w:t>.</w:t>
      </w:r>
    </w:p>
    <w:p w:rsidR="000F0AE1" w:rsidRPr="0084409A" w:rsidRDefault="000F0AE1" w:rsidP="003F0811">
      <w:pPr>
        <w:jc w:val="both"/>
      </w:pPr>
    </w:p>
    <w:p w:rsidR="00AC670D" w:rsidRPr="00D14C1F" w:rsidRDefault="000F0AE1" w:rsidP="003F0811">
      <w:pPr>
        <w:ind w:firstLine="720"/>
        <w:jc w:val="both"/>
      </w:pPr>
      <w:r>
        <w:rPr>
          <w:lang w:val="sr-Cyrl-CS"/>
        </w:rPr>
        <w:t xml:space="preserve">Према </w:t>
      </w:r>
      <w:r w:rsidR="00F3722F" w:rsidRPr="002F3F26">
        <w:rPr>
          <w:lang w:val="sr-Cyrl-CS"/>
        </w:rPr>
        <w:t>буџетском календару</w:t>
      </w:r>
      <w:r w:rsidR="0084409A" w:rsidRPr="0084409A">
        <w:t xml:space="preserve"> </w:t>
      </w:r>
      <w:r w:rsidR="0084409A">
        <w:t>који је</w:t>
      </w:r>
      <w:r w:rsidR="0084409A">
        <w:rPr>
          <w:lang w:val="sr-Cyrl-CS"/>
        </w:rPr>
        <w:t xml:space="preserve"> дефинисан ч</w:t>
      </w:r>
      <w:r w:rsidR="0084409A" w:rsidRPr="002F3F26">
        <w:rPr>
          <w:lang w:val="sr-Cyrl-CS"/>
        </w:rPr>
        <w:t>ла</w:t>
      </w:r>
      <w:r w:rsidR="0084409A">
        <w:rPr>
          <w:lang w:val="sr-Cyrl-CS"/>
        </w:rPr>
        <w:t>ном</w:t>
      </w:r>
      <w:r w:rsidR="0084409A" w:rsidRPr="002F3F26">
        <w:rPr>
          <w:lang w:val="sr-Cyrl-CS"/>
        </w:rPr>
        <w:t xml:space="preserve"> 31. </w:t>
      </w:r>
      <w:r w:rsidR="0084409A">
        <w:rPr>
          <w:lang w:val="sr-Cyrl-CS"/>
        </w:rPr>
        <w:t>З</w:t>
      </w:r>
      <w:r w:rsidR="0084409A" w:rsidRPr="002F3F26">
        <w:rPr>
          <w:lang w:val="sr-Cyrl-CS"/>
        </w:rPr>
        <w:t>акона</w:t>
      </w:r>
      <w:r w:rsidR="00314F28">
        <w:rPr>
          <w:lang w:val="sr-Cyrl-CS"/>
        </w:rPr>
        <w:t>,</w:t>
      </w:r>
      <w:r w:rsidRPr="000F0AE1">
        <w:rPr>
          <w:sz w:val="19"/>
          <w:szCs w:val="19"/>
        </w:rPr>
        <w:t xml:space="preserve"> </w:t>
      </w:r>
      <w:r w:rsidRPr="000F0AE1">
        <w:t xml:space="preserve">Влада </w:t>
      </w:r>
      <w:r>
        <w:t xml:space="preserve">је у обавези да до </w:t>
      </w:r>
      <w:r w:rsidRPr="000F0AE1">
        <w:t>15. јун</w:t>
      </w:r>
      <w:r>
        <w:t xml:space="preserve">а </w:t>
      </w:r>
      <w:r w:rsidRPr="000F0AE1">
        <w:t>усв</w:t>
      </w:r>
      <w:r w:rsidR="00314F28">
        <w:t>о</w:t>
      </w:r>
      <w:r w:rsidRPr="000F0AE1">
        <w:t>ј</w:t>
      </w:r>
      <w:r>
        <w:t>и</w:t>
      </w:r>
      <w:r w:rsidRPr="000F0AE1">
        <w:t xml:space="preserve"> Фискалну стратегију и достав</w:t>
      </w:r>
      <w:r>
        <w:t>и</w:t>
      </w:r>
      <w:r w:rsidRPr="000F0AE1">
        <w:t xml:space="preserve"> је Народној скупштини на разматрање, као и локалној власти</w:t>
      </w:r>
      <w:r>
        <w:t xml:space="preserve">. </w:t>
      </w:r>
      <w:r w:rsidR="001F5DA5" w:rsidRPr="00BD6842">
        <w:rPr>
          <w:b/>
          <w:lang w:val="sr-Cyrl-CS"/>
        </w:rPr>
        <w:t xml:space="preserve">Упутство за припрему </w:t>
      </w:r>
      <w:r w:rsidR="001F5DA5" w:rsidRPr="00BD6842">
        <w:rPr>
          <w:b/>
          <w:lang w:val="en-GB"/>
        </w:rPr>
        <w:t>O</w:t>
      </w:r>
      <w:r w:rsidR="001F5DA5" w:rsidRPr="00BD6842">
        <w:rPr>
          <w:b/>
          <w:lang w:val="sr-Cyrl-CS"/>
        </w:rPr>
        <w:t>длуке о буџету локалне власти</w:t>
      </w:r>
      <w:r w:rsidR="001F5DA5" w:rsidRPr="002F3F26">
        <w:rPr>
          <w:lang w:val="sr-Cyrl-CS"/>
        </w:rPr>
        <w:t xml:space="preserve"> као и Фискалну стратегију</w:t>
      </w:r>
      <w:r w:rsidR="00AC670D">
        <w:rPr>
          <w:lang w:val="sr-Cyrl-CS"/>
        </w:rPr>
        <w:t>,</w:t>
      </w:r>
      <w:r w:rsidR="001F5DA5" w:rsidRPr="002F3F26">
        <w:rPr>
          <w:lang w:val="sr-Cyrl-CS"/>
        </w:rPr>
        <w:t xml:space="preserve"> </w:t>
      </w:r>
      <w:r w:rsidR="00F3722F" w:rsidRPr="002F3F26">
        <w:rPr>
          <w:lang w:val="sr-Cyrl-CS"/>
        </w:rPr>
        <w:t xml:space="preserve">министар финансија доставља до </w:t>
      </w:r>
      <w:r w:rsidR="00F3722F" w:rsidRPr="00BD6842">
        <w:rPr>
          <w:b/>
          <w:lang w:val="sr-Cyrl-CS"/>
        </w:rPr>
        <w:t>5.</w:t>
      </w:r>
      <w:r w:rsidR="008C6CF6" w:rsidRPr="00BD6842">
        <w:rPr>
          <w:b/>
          <w:lang w:val="en-GB"/>
        </w:rPr>
        <w:t xml:space="preserve"> </w:t>
      </w:r>
      <w:r w:rsidR="007B0AC7" w:rsidRPr="00BD6842">
        <w:rPr>
          <w:b/>
          <w:lang w:val="sr-Cyrl-CS"/>
        </w:rPr>
        <w:t>ј</w:t>
      </w:r>
      <w:r w:rsidR="00F3722F" w:rsidRPr="00BD6842">
        <w:rPr>
          <w:b/>
          <w:lang w:val="sr-Cyrl-CS"/>
        </w:rPr>
        <w:t>ула</w:t>
      </w:r>
      <w:r w:rsidR="007B0AC7" w:rsidRPr="00BD6842">
        <w:rPr>
          <w:b/>
          <w:lang w:val="sr-Cyrl-CS"/>
        </w:rPr>
        <w:t xml:space="preserve"> </w:t>
      </w:r>
      <w:r w:rsidR="007B0AC7">
        <w:rPr>
          <w:lang w:val="sr-Cyrl-CS"/>
        </w:rPr>
        <w:t>текуће године</w:t>
      </w:r>
      <w:r w:rsidR="00F3722F" w:rsidRPr="002F3F26">
        <w:rPr>
          <w:lang w:val="sr-Cyrl-CS"/>
        </w:rPr>
        <w:t>.</w:t>
      </w:r>
      <w:r w:rsidR="003F0811">
        <w:t xml:space="preserve"> </w:t>
      </w:r>
      <w:r w:rsidR="00D14C1F">
        <w:t>Упутство за припрему одлуке о буџету локалне власти за 2022. годину и пројекција за 2023. и 2024. годину достављено је у законском року.</w:t>
      </w:r>
    </w:p>
    <w:p w:rsidR="009A4F80" w:rsidRDefault="009A4F80" w:rsidP="003F0811">
      <w:pPr>
        <w:ind w:firstLine="720"/>
        <w:jc w:val="both"/>
        <w:rPr>
          <w:lang w:val="sr-Cyrl-CS"/>
        </w:rPr>
      </w:pPr>
    </w:p>
    <w:p w:rsidR="009A4F80" w:rsidRDefault="009A4F80" w:rsidP="003F0811">
      <w:pPr>
        <w:autoSpaceDE w:val="0"/>
        <w:autoSpaceDN w:val="0"/>
        <w:adjustRightInd w:val="0"/>
        <w:ind w:firstLine="7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Буџетски к</w:t>
      </w:r>
      <w:r w:rsidRPr="009A4F80">
        <w:rPr>
          <w:rFonts w:eastAsiaTheme="minorHAnsi"/>
          <w:color w:val="000000"/>
        </w:rPr>
        <w:t xml:space="preserve">алендар </w:t>
      </w:r>
      <w:r>
        <w:rPr>
          <w:rFonts w:eastAsiaTheme="minorHAnsi"/>
          <w:color w:val="000000"/>
        </w:rPr>
        <w:t xml:space="preserve"> за</w:t>
      </w:r>
      <w:r w:rsidRPr="009A4F80">
        <w:rPr>
          <w:rFonts w:eastAsiaTheme="minorHAnsi"/>
          <w:color w:val="000000"/>
        </w:rPr>
        <w:t xml:space="preserve"> локалн</w:t>
      </w:r>
      <w:r>
        <w:rPr>
          <w:rFonts w:eastAsiaTheme="minorHAnsi"/>
          <w:color w:val="000000"/>
        </w:rPr>
        <w:t>у</w:t>
      </w:r>
      <w:r w:rsidRPr="009A4F80">
        <w:rPr>
          <w:rFonts w:eastAsiaTheme="minorHAnsi"/>
          <w:color w:val="000000"/>
        </w:rPr>
        <w:t xml:space="preserve"> власт</w:t>
      </w:r>
      <w:r>
        <w:rPr>
          <w:rFonts w:eastAsiaTheme="minorHAnsi"/>
          <w:color w:val="000000"/>
        </w:rPr>
        <w:t xml:space="preserve"> предвиђа следеће рокове</w:t>
      </w:r>
      <w:r w:rsidRPr="009A4F80">
        <w:rPr>
          <w:rFonts w:eastAsiaTheme="minorHAnsi"/>
          <w:color w:val="000000"/>
        </w:rPr>
        <w:t xml:space="preserve">: </w:t>
      </w:r>
    </w:p>
    <w:p w:rsidR="00D1698D" w:rsidRPr="00D1698D" w:rsidRDefault="00D1698D" w:rsidP="009A4F80">
      <w:pPr>
        <w:autoSpaceDE w:val="0"/>
        <w:autoSpaceDN w:val="0"/>
        <w:adjustRightInd w:val="0"/>
        <w:ind w:firstLine="720"/>
        <w:rPr>
          <w:rFonts w:eastAsiaTheme="minorHAnsi"/>
          <w:color w:val="000000"/>
        </w:rPr>
      </w:pPr>
    </w:p>
    <w:p w:rsidR="009A4F80" w:rsidRPr="009A4F80" w:rsidRDefault="009A4F80" w:rsidP="009A4F80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  <w:t xml:space="preserve">- </w:t>
      </w:r>
      <w:r w:rsidRPr="009A4F80">
        <w:rPr>
          <w:rFonts w:eastAsiaTheme="minorHAnsi"/>
          <w:color w:val="000000"/>
        </w:rPr>
        <w:t xml:space="preserve"> 1. август - локални орган управе надлежан за финансије доставља упутство за припрему нацрта буџета локалне власти; </w:t>
      </w:r>
    </w:p>
    <w:p w:rsidR="009A4F80" w:rsidRPr="009A4F80" w:rsidRDefault="000B6252" w:rsidP="009A4F80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- </w:t>
      </w:r>
      <w:r w:rsidR="009A4F80" w:rsidRPr="009A4F80">
        <w:rPr>
          <w:rFonts w:eastAsiaTheme="minorHAnsi"/>
          <w:color w:val="000000"/>
        </w:rPr>
        <w:t xml:space="preserve">1. септембар - директни корисници средстава буџета локалне власти достављају предлог финансијског плана локалном органу управе надлежном за финансије за буџетску и наредне две фискалне године, који садржи извештај о учинку програма за првих шест месеци текуће године; </w:t>
      </w:r>
    </w:p>
    <w:p w:rsidR="009A4F80" w:rsidRPr="009A4F80" w:rsidRDefault="009A4F80" w:rsidP="009A4F80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- </w:t>
      </w:r>
      <w:r w:rsidRPr="009A4F80">
        <w:rPr>
          <w:rFonts w:eastAsiaTheme="minorHAnsi"/>
          <w:color w:val="000000"/>
        </w:rPr>
        <w:t xml:space="preserve"> 15. октобар - локални орган управе надлежан за финансије доставља нацрт одлуке о буџету надлежном извршном органу локалне власти; </w:t>
      </w:r>
    </w:p>
    <w:p w:rsidR="009A4F80" w:rsidRPr="009A4F80" w:rsidRDefault="009A4F80" w:rsidP="009A4F80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-  </w:t>
      </w:r>
      <w:r w:rsidRPr="009A4F80">
        <w:rPr>
          <w:rFonts w:eastAsiaTheme="minorHAnsi"/>
          <w:color w:val="000000"/>
        </w:rPr>
        <w:t xml:space="preserve">1. новембар - надлежни извршни орган локалне власти доставља предлог одлуке о буџету скупштини локалне власти; </w:t>
      </w:r>
    </w:p>
    <w:p w:rsidR="009A4F80" w:rsidRPr="009A4F80" w:rsidRDefault="009A4F80" w:rsidP="009A4F80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- </w:t>
      </w:r>
      <w:r w:rsidRPr="009A4F80">
        <w:rPr>
          <w:rFonts w:eastAsiaTheme="minorHAnsi"/>
          <w:color w:val="000000"/>
        </w:rPr>
        <w:t xml:space="preserve"> 20. децембар - скупштина локалне власти доноси одлуку о буџету локалне власти; </w:t>
      </w:r>
    </w:p>
    <w:p w:rsidR="009A4F80" w:rsidRDefault="009A4F80" w:rsidP="009A4F80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-</w:t>
      </w:r>
      <w:r w:rsidRPr="009A4F80">
        <w:rPr>
          <w:rFonts w:eastAsiaTheme="minorHAnsi"/>
          <w:color w:val="000000"/>
        </w:rPr>
        <w:t xml:space="preserve"> 25. децембар - локални орган управе надлежан за финансије доставља министру одлуку о буџету локалне власти. </w:t>
      </w:r>
    </w:p>
    <w:p w:rsidR="00FE7BFA" w:rsidRPr="00FE7BFA" w:rsidRDefault="00FE7BFA" w:rsidP="009A4F80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</w:p>
    <w:p w:rsidR="0026389C" w:rsidRDefault="00390A06" w:rsidP="009A4F80">
      <w:pPr>
        <w:ind w:firstLine="720"/>
        <w:jc w:val="both"/>
        <w:rPr>
          <w:rFonts w:ascii="Arial" w:eastAsiaTheme="minorHAnsi" w:hAnsi="Arial" w:cs="Arial"/>
          <w:color w:val="000000"/>
          <w:sz w:val="19"/>
          <w:szCs w:val="19"/>
        </w:rPr>
      </w:pPr>
      <w:r>
        <w:rPr>
          <w:rFonts w:eastAsiaTheme="minorHAnsi"/>
          <w:color w:val="000000"/>
        </w:rPr>
        <w:t xml:space="preserve">Наведени </w:t>
      </w:r>
      <w:r w:rsidR="00C277DA">
        <w:rPr>
          <w:rFonts w:eastAsiaTheme="minorHAnsi"/>
          <w:color w:val="000000"/>
        </w:rPr>
        <w:t>р</w:t>
      </w:r>
      <w:r w:rsidR="009A4F80" w:rsidRPr="009A4F80">
        <w:rPr>
          <w:rFonts w:eastAsiaTheme="minorHAnsi"/>
          <w:color w:val="000000"/>
        </w:rPr>
        <w:t>окови представљају крајње рокове у буџетском календару</w:t>
      </w:r>
      <w:r w:rsidR="009A4F80" w:rsidRPr="009A4F80">
        <w:rPr>
          <w:rFonts w:ascii="Arial" w:eastAsiaTheme="minorHAnsi" w:hAnsi="Arial" w:cs="Arial"/>
          <w:color w:val="000000"/>
          <w:sz w:val="19"/>
          <w:szCs w:val="19"/>
        </w:rPr>
        <w:t>.</w:t>
      </w:r>
    </w:p>
    <w:p w:rsidR="00D10A95" w:rsidRPr="00FE7BFA" w:rsidRDefault="00D10A95" w:rsidP="00D10A95">
      <w:pPr>
        <w:pStyle w:val="Default"/>
      </w:pPr>
    </w:p>
    <w:p w:rsidR="00D10A95" w:rsidRPr="00D10A95" w:rsidRDefault="00D10A95" w:rsidP="003F0811">
      <w:pPr>
        <w:pStyle w:val="Default"/>
        <w:ind w:left="360"/>
        <w:jc w:val="center"/>
        <w:rPr>
          <w:b/>
        </w:rPr>
      </w:pPr>
      <w:r w:rsidRPr="00D10A95">
        <w:rPr>
          <w:b/>
        </w:rPr>
        <w:t>Опште напомене за припрему одлуке о буџету локалне власти</w:t>
      </w:r>
    </w:p>
    <w:p w:rsidR="00DC584E" w:rsidRPr="00DC584E" w:rsidRDefault="00DC584E" w:rsidP="003F0811">
      <w:pPr>
        <w:jc w:val="both"/>
      </w:pPr>
    </w:p>
    <w:p w:rsidR="00871FCC" w:rsidRDefault="00871FCC" w:rsidP="003F0811">
      <w:pPr>
        <w:pStyle w:val="Default"/>
        <w:jc w:val="both"/>
      </w:pPr>
      <w:r>
        <w:tab/>
      </w:r>
      <w:r w:rsidRPr="00871FCC">
        <w:t>Унапређење буџетског процеса кроз примену програмског буџетирања представља део реформе управљања јавним финансијама којим се ставља нагласак на утврђивање приоритета и оптимизацију потрошње у циљу подстицања привредног раста и ефикасног пружања квалитетни</w:t>
      </w:r>
      <w:r w:rsidR="003A1C56">
        <w:t>х услуга јавне управе.</w:t>
      </w:r>
    </w:p>
    <w:p w:rsidR="00E84310" w:rsidRDefault="00E84310" w:rsidP="003F0811">
      <w:pPr>
        <w:pStyle w:val="Default"/>
        <w:ind w:firstLine="720"/>
        <w:jc w:val="both"/>
      </w:pPr>
    </w:p>
    <w:p w:rsidR="00E84310" w:rsidRPr="00E84310" w:rsidRDefault="00E84310" w:rsidP="003F0811">
      <w:pPr>
        <w:pStyle w:val="Default"/>
        <w:ind w:firstLine="720"/>
        <w:jc w:val="both"/>
      </w:pPr>
      <w:r>
        <w:t>Прoгрaмски буџeт прeдстaвљa eфикaсaн мeхaнизaм зa спровођење те рeфoрмe. Тaкав буџет oмoгућaвa бoљe упрaвљaњe учинкoм jaвнe упрaвe, вeћу oдгoвoрнoст кoрисникa буџета, успoстaвљaњe снaжниjих вeзa измeђу гoдишњeг буџeтa, утврђивања приоритетних рaсхoдa и издатака и спровођења jaвних пoлитикa, кao и вeћу трaнспaрeнтнoст пoтрoшњe.</w:t>
      </w:r>
    </w:p>
    <w:p w:rsidR="003A1C56" w:rsidRPr="00871FCC" w:rsidRDefault="003A1C56" w:rsidP="006F77A2">
      <w:pPr>
        <w:pStyle w:val="Default"/>
        <w:jc w:val="both"/>
      </w:pPr>
    </w:p>
    <w:p w:rsidR="00871FCC" w:rsidRDefault="00871FCC" w:rsidP="006F77A2">
      <w:pPr>
        <w:pStyle w:val="Default"/>
        <w:ind w:firstLine="720"/>
        <w:jc w:val="both"/>
      </w:pPr>
      <w:r w:rsidRPr="00871FCC">
        <w:t>Упутство за израду програмског буџета, као и Анекс 5 којим је дефинисана униформна програмска струкура буџета ЈЛС за израду одлуке о буџету ЈЛС за 202</w:t>
      </w:r>
      <w:r w:rsidR="005125FA">
        <w:t>2</w:t>
      </w:r>
      <w:r w:rsidRPr="00871FCC">
        <w:t>. годину и документ који садржи циљеве програма и програмских активности и листу униформних индикатора могу се наћи на сајту Министарства финансија (</w:t>
      </w:r>
      <w:hyperlink r:id="rId8" w:history="1">
        <w:r w:rsidR="003A1C56" w:rsidRPr="00055521">
          <w:rPr>
            <w:rStyle w:val="Hyperlink"/>
          </w:rPr>
          <w:t>www.mfin.gov.rs</w:t>
        </w:r>
      </w:hyperlink>
      <w:r w:rsidRPr="00871FCC">
        <w:t xml:space="preserve">). </w:t>
      </w:r>
    </w:p>
    <w:p w:rsidR="004B1075" w:rsidRPr="00D43E94" w:rsidRDefault="004B1075" w:rsidP="00844781">
      <w:pPr>
        <w:pStyle w:val="Default"/>
        <w:jc w:val="both"/>
        <w:rPr>
          <w:sz w:val="23"/>
          <w:szCs w:val="23"/>
        </w:rPr>
      </w:pPr>
    </w:p>
    <w:p w:rsidR="004B1075" w:rsidRDefault="00871FCC" w:rsidP="008221F0">
      <w:pPr>
        <w:pStyle w:val="Default"/>
        <w:jc w:val="both"/>
      </w:pPr>
      <w:r>
        <w:lastRenderedPageBreak/>
        <w:t xml:space="preserve"> </w:t>
      </w:r>
      <w:r w:rsidR="004B1075">
        <w:tab/>
      </w:r>
      <w:r w:rsidR="004B1075" w:rsidRPr="004B1075">
        <w:t>У оквиру спровођења реформе јавних финансија започет је процес унапређења програмског модела буџета кроз увођење принципа родно одговорног буџетирања у буџетски процес. До 202</w:t>
      </w:r>
      <w:r w:rsidR="008D024A">
        <w:t>4</w:t>
      </w:r>
      <w:r w:rsidR="004B1075" w:rsidRPr="004B1075">
        <w:t xml:space="preserve">. године предвиђено је да се заокружи процес постепеног увођења родно одговорног буџетирања за све буџетске кориснике на свим нивоима власти, сходно члану 16. став 1. Закона о изменама и допунама Закона о буџетском систему („Службени гласник РС”, број 103/15 и 72/19), путем плана његовог постепеног увођења који доноси орган надлежан за буџет јединице локалне самоуправе. Имајући у виду наведену законску одредбу неопходно је да надлежни орган локалне власти на годишњем нивоу донесе план поступног увођења родно одговорног буџетирања, којим ће одредити </w:t>
      </w:r>
      <w:r w:rsidR="004B1075" w:rsidRPr="00810C30">
        <w:rPr>
          <w:bCs/>
        </w:rPr>
        <w:t xml:space="preserve">једног или више корисника буџетских средстава и један или више програма опредељеног буџетског корисника за који/које ће се дефинисати (на нивоу програма и/или програмске активности) најмање један родно одговоран циљ и одговарајући показатељи/индикатори </w:t>
      </w:r>
      <w:r w:rsidR="004B1075" w:rsidRPr="00810C30">
        <w:t>који адекватно мере допринос циља унапређењу равноправости између жена и мушкараца</w:t>
      </w:r>
      <w:r w:rsidR="004B1075" w:rsidRPr="004B1075">
        <w:t xml:space="preserve">. </w:t>
      </w:r>
    </w:p>
    <w:p w:rsidR="00676A76" w:rsidRDefault="00676A76" w:rsidP="008221F0">
      <w:pPr>
        <w:pStyle w:val="Default"/>
        <w:jc w:val="both"/>
      </w:pPr>
    </w:p>
    <w:p w:rsidR="00F04394" w:rsidRDefault="00676A76" w:rsidP="008221F0">
      <w:pPr>
        <w:pStyle w:val="Default"/>
        <w:ind w:firstLine="720"/>
        <w:jc w:val="both"/>
      </w:pPr>
      <w:r w:rsidRPr="00676A76">
        <w:t xml:space="preserve">Израда </w:t>
      </w:r>
      <w:r w:rsidRPr="00676A76">
        <w:rPr>
          <w:b/>
          <w:bCs/>
        </w:rPr>
        <w:t>грађанског буџета</w:t>
      </w:r>
      <w:r w:rsidRPr="00676A76">
        <w:t>, као инструмента за повећање транспарентног исказивања на који начин и у које сврхе се користе јавна средства, представља својеврстан водич за грађане којима треба да се приближе надлежности и начин финансирања послова који се обављају у њиховим општинама и градовима</w:t>
      </w:r>
      <w:r>
        <w:t xml:space="preserve"> истиче се у Упутству</w:t>
      </w:r>
      <w:r w:rsidRPr="00676A76">
        <w:t xml:space="preserve">. </w:t>
      </w:r>
      <w:r w:rsidR="00365978" w:rsidRPr="00676A76">
        <w:t>У циљу информисања и појашњења грађан</w:t>
      </w:r>
      <w:r w:rsidR="00365978">
        <w:t>а</w:t>
      </w:r>
      <w:r w:rsidR="00365978" w:rsidRPr="00676A76">
        <w:t xml:space="preserve"> о начину трошења и за које сврхе се троше буџетска средства, потребно је да локална власт на једноставан и разумљив начин прикаже свој буџет грађанима са информацијама о буџетским приходима и примањима, расходима и издацима, изворима финансирања, буџетским корисницима и сл. и објави га на својој интернет страници.</w:t>
      </w:r>
      <w:r w:rsidR="00A1057F">
        <w:t xml:space="preserve"> </w:t>
      </w:r>
    </w:p>
    <w:p w:rsidR="00F04394" w:rsidRDefault="00F04394" w:rsidP="008221F0">
      <w:pPr>
        <w:pStyle w:val="Default"/>
        <w:ind w:firstLine="720"/>
        <w:jc w:val="both"/>
      </w:pPr>
    </w:p>
    <w:p w:rsidR="00365978" w:rsidRPr="00A1057F" w:rsidRDefault="00A1057F" w:rsidP="008221F0">
      <w:pPr>
        <w:pStyle w:val="Default"/>
        <w:ind w:firstLine="720"/>
        <w:jc w:val="both"/>
      </w:pPr>
      <w:r>
        <w:t xml:space="preserve">Кроз грађански буџет, локална самоуправа осим што информише грађане треба и да их </w:t>
      </w:r>
      <w:r w:rsidRPr="00D25951">
        <w:rPr>
          <w:rFonts w:cs="Helvetica"/>
          <w:lang w:val="sr-Cyrl-CS"/>
        </w:rPr>
        <w:t xml:space="preserve">заинтересује да учествују у процесу планирања, расподеле буџета и да прате како се буџет троши. Ово је посебно важно у контексту обавезе ЈЛС </w:t>
      </w:r>
      <w:r>
        <w:rPr>
          <w:rFonts w:cs="Helvetica"/>
          <w:lang w:val="sr-Cyrl-CS"/>
        </w:rPr>
        <w:t xml:space="preserve">да </w:t>
      </w:r>
      <w:r w:rsidRPr="00D25951">
        <w:rPr>
          <w:rFonts w:cs="Helvetica"/>
          <w:lang w:val="sr-Cyrl-CS"/>
        </w:rPr>
        <w:t xml:space="preserve">организују јавну расправу о делу локалног буџета намењеног јавним инвестицијама </w:t>
      </w:r>
      <w:r>
        <w:rPr>
          <w:rFonts w:cs="Helvetica"/>
          <w:lang w:val="sr-Cyrl-CS"/>
        </w:rPr>
        <w:t>и</w:t>
      </w:r>
      <w:r w:rsidRPr="00D25951">
        <w:rPr>
          <w:rFonts w:cs="Helvetica"/>
          <w:lang w:val="sr-Cyrl-CS"/>
        </w:rPr>
        <w:t xml:space="preserve"> информишу грађан</w:t>
      </w:r>
      <w:r>
        <w:rPr>
          <w:rFonts w:cs="Helvetica"/>
          <w:lang w:val="sr-Cyrl-CS"/>
        </w:rPr>
        <w:t>е</w:t>
      </w:r>
      <w:r w:rsidRPr="00D25951">
        <w:rPr>
          <w:rFonts w:cs="Helvetica"/>
          <w:lang w:val="sr-Cyrl-CS"/>
        </w:rPr>
        <w:t xml:space="preserve"> који капитални пројекти су планирани за реализацију током наредног периода.</w:t>
      </w:r>
    </w:p>
    <w:p w:rsidR="00B0464A" w:rsidRPr="00365978" w:rsidRDefault="00B0464A" w:rsidP="008221F0">
      <w:pPr>
        <w:pStyle w:val="Default"/>
        <w:jc w:val="both"/>
      </w:pPr>
    </w:p>
    <w:p w:rsidR="009279F7" w:rsidRDefault="009279F7" w:rsidP="008221F0">
      <w:pPr>
        <w:pStyle w:val="Default"/>
        <w:ind w:firstLine="720"/>
        <w:jc w:val="both"/>
      </w:pPr>
      <w:r w:rsidRPr="007631B9">
        <w:t xml:space="preserve">Законом о буџетском систему је прописано да одредбе закона којима се уређује коришћење и расподела </w:t>
      </w:r>
      <w:r w:rsidRPr="00DD6D1A">
        <w:rPr>
          <w:b/>
        </w:rPr>
        <w:t>сопствених прихода</w:t>
      </w:r>
      <w:r w:rsidRPr="007631B9">
        <w:t xml:space="preserve"> које остваре установе основане од стране локалне власти над којима оснивач, преко директних корисника буџетских средстава, врши законом утврђена права у погледу управљања и финансирања, престају да важе кад се за то створе технички услови. </w:t>
      </w:r>
    </w:p>
    <w:p w:rsidR="003E717B" w:rsidRPr="007631B9" w:rsidRDefault="003E717B" w:rsidP="008221F0">
      <w:pPr>
        <w:pStyle w:val="Default"/>
        <w:ind w:firstLine="720"/>
        <w:jc w:val="both"/>
      </w:pPr>
    </w:p>
    <w:p w:rsidR="006F77A2" w:rsidRDefault="009279F7" w:rsidP="008221F0">
      <w:pPr>
        <w:pStyle w:val="Default"/>
        <w:ind w:firstLine="720"/>
        <w:jc w:val="both"/>
      </w:pPr>
      <w:r w:rsidRPr="007631B9">
        <w:t>С обзиром на то да је законодавац оставио могућност да установе до даљњег могу да користе сопстве</w:t>
      </w:r>
      <w:r w:rsidR="00DD6D1A">
        <w:t>не приходе у складу са законом,</w:t>
      </w:r>
      <w:r w:rsidRPr="007631B9">
        <w:t xml:space="preserve"> </w:t>
      </w:r>
      <w:r w:rsidRPr="007631B9">
        <w:rPr>
          <w:bCs/>
        </w:rPr>
        <w:t>Упутством за припрему одлуке о буџету локалне власти за 202</w:t>
      </w:r>
      <w:r w:rsidR="00C971F2">
        <w:rPr>
          <w:bCs/>
        </w:rPr>
        <w:t>2</w:t>
      </w:r>
      <w:r w:rsidRPr="007631B9">
        <w:rPr>
          <w:bCs/>
        </w:rPr>
        <w:t>. годину и пројекција за 202</w:t>
      </w:r>
      <w:r w:rsidR="00C971F2">
        <w:rPr>
          <w:bCs/>
        </w:rPr>
        <w:t>3</w:t>
      </w:r>
      <w:r w:rsidRPr="007631B9">
        <w:rPr>
          <w:bCs/>
        </w:rPr>
        <w:t>. и 202</w:t>
      </w:r>
      <w:r w:rsidR="00C971F2">
        <w:rPr>
          <w:bCs/>
        </w:rPr>
        <w:t>4</w:t>
      </w:r>
      <w:r w:rsidRPr="007631B9">
        <w:rPr>
          <w:bCs/>
        </w:rPr>
        <w:t>. годину коју је донео Министар финансија,</w:t>
      </w:r>
      <w:r w:rsidRPr="007631B9">
        <w:t xml:space="preserve"> </w:t>
      </w:r>
      <w:r w:rsidR="00DD6D1A">
        <w:t xml:space="preserve">истакнуто је да </w:t>
      </w:r>
      <w:r w:rsidRPr="007631B9">
        <w:rPr>
          <w:b/>
          <w:bCs/>
        </w:rPr>
        <w:t xml:space="preserve">надлежни орган треба да преиспита основаност и оправданост постојања рачуна сопствених прихода индиректних корисника буџетских средства </w:t>
      </w:r>
      <w:r w:rsidRPr="007631B9">
        <w:t xml:space="preserve">(установе културе, спорта и сл.) у случају када коришћење и расподела тих прихода није уређена посебним законима. </w:t>
      </w:r>
    </w:p>
    <w:p w:rsidR="003E717B" w:rsidRDefault="003E717B" w:rsidP="006F77A2">
      <w:pPr>
        <w:pStyle w:val="Default"/>
        <w:ind w:firstLine="720"/>
        <w:jc w:val="both"/>
      </w:pPr>
    </w:p>
    <w:p w:rsidR="009279F7" w:rsidRPr="00F764CD" w:rsidRDefault="009279F7" w:rsidP="008221F0">
      <w:pPr>
        <w:pStyle w:val="Default"/>
        <w:ind w:firstLine="720"/>
        <w:jc w:val="both"/>
        <w:rPr>
          <w:u w:val="single"/>
        </w:rPr>
      </w:pPr>
      <w:r w:rsidRPr="007631B9">
        <w:t xml:space="preserve">Уколико буџетски корисник, у складу са посебним законима, остварује </w:t>
      </w:r>
      <w:r w:rsidRPr="006F77A2">
        <w:rPr>
          <w:b/>
          <w:u w:val="single"/>
        </w:rPr>
        <w:t>сопствене приходе</w:t>
      </w:r>
      <w:r w:rsidRPr="007631B9">
        <w:t xml:space="preserve"> надлежни орган локалне власти дужан је да води рачуна да </w:t>
      </w:r>
      <w:r w:rsidRPr="006F77A2">
        <w:rPr>
          <w:b/>
          <w:u w:val="single"/>
        </w:rPr>
        <w:t>тај корисник извршава расходе и издатке првенствено из тог и других извора</w:t>
      </w:r>
      <w:r w:rsidRPr="00F764CD">
        <w:rPr>
          <w:u w:val="single"/>
        </w:rPr>
        <w:t xml:space="preserve">, па </w:t>
      </w:r>
      <w:r w:rsidRPr="00F764CD">
        <w:rPr>
          <w:b/>
          <w:u w:val="single"/>
        </w:rPr>
        <w:t xml:space="preserve">тек онда из извора 01 - Приходи из буџета </w:t>
      </w:r>
      <w:r w:rsidRPr="00F764CD">
        <w:rPr>
          <w:u w:val="single"/>
        </w:rPr>
        <w:t xml:space="preserve">(члан 52. Закона о буџетском систему). </w:t>
      </w:r>
    </w:p>
    <w:p w:rsidR="007631B9" w:rsidRDefault="002B6FE2" w:rsidP="008221F0">
      <w:pPr>
        <w:pStyle w:val="normal0"/>
        <w:spacing w:after="24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1B9">
        <w:rPr>
          <w:rFonts w:ascii="Times New Roman" w:hAnsi="Times New Roman" w:cs="Times New Roman"/>
          <w:sz w:val="24"/>
          <w:szCs w:val="24"/>
        </w:rPr>
        <w:lastRenderedPageBreak/>
        <w:t>Jавн</w:t>
      </w:r>
      <w:r w:rsidR="006F77A2">
        <w:rPr>
          <w:rFonts w:ascii="Times New Roman" w:hAnsi="Times New Roman" w:cs="Times New Roman"/>
          <w:sz w:val="24"/>
          <w:szCs w:val="24"/>
        </w:rPr>
        <w:t>и</w:t>
      </w:r>
      <w:r w:rsidRPr="007631B9">
        <w:rPr>
          <w:rFonts w:ascii="Times New Roman" w:hAnsi="Times New Roman" w:cs="Times New Roman"/>
          <w:sz w:val="24"/>
          <w:szCs w:val="24"/>
        </w:rPr>
        <w:t xml:space="preserve"> приход</w:t>
      </w:r>
      <w:r w:rsidR="006F77A2">
        <w:rPr>
          <w:rFonts w:ascii="Times New Roman" w:hAnsi="Times New Roman" w:cs="Times New Roman"/>
          <w:sz w:val="24"/>
          <w:szCs w:val="24"/>
        </w:rPr>
        <w:t>и остварени</w:t>
      </w:r>
      <w:r w:rsidRPr="007631B9">
        <w:rPr>
          <w:rFonts w:ascii="Times New Roman" w:hAnsi="Times New Roman" w:cs="Times New Roman"/>
          <w:sz w:val="24"/>
          <w:szCs w:val="24"/>
        </w:rPr>
        <w:t xml:space="preserve"> по основу пружања услуга боравка деце у предшколским установама </w:t>
      </w:r>
      <w:r w:rsidR="006F77A2">
        <w:rPr>
          <w:rFonts w:ascii="Times New Roman" w:hAnsi="Times New Roman" w:cs="Times New Roman"/>
          <w:sz w:val="24"/>
          <w:szCs w:val="24"/>
        </w:rPr>
        <w:t>планира</w:t>
      </w:r>
      <w:r w:rsidR="0056736D">
        <w:rPr>
          <w:rFonts w:ascii="Times New Roman" w:hAnsi="Times New Roman" w:cs="Times New Roman"/>
          <w:sz w:val="24"/>
          <w:szCs w:val="24"/>
        </w:rPr>
        <w:t>ју</w:t>
      </w:r>
      <w:r w:rsidRPr="007631B9">
        <w:rPr>
          <w:rFonts w:ascii="Times New Roman" w:hAnsi="Times New Roman" w:cs="Times New Roman"/>
          <w:sz w:val="24"/>
          <w:szCs w:val="24"/>
        </w:rPr>
        <w:t xml:space="preserve"> </w:t>
      </w:r>
      <w:r w:rsidR="006F77A2">
        <w:rPr>
          <w:rFonts w:ascii="Times New Roman" w:hAnsi="Times New Roman" w:cs="Times New Roman"/>
          <w:sz w:val="24"/>
          <w:szCs w:val="24"/>
        </w:rPr>
        <w:t>с</w:t>
      </w:r>
      <w:r w:rsidR="0056736D">
        <w:rPr>
          <w:rFonts w:ascii="Times New Roman" w:hAnsi="Times New Roman" w:cs="Times New Roman"/>
          <w:sz w:val="24"/>
          <w:szCs w:val="24"/>
        </w:rPr>
        <w:t>е</w:t>
      </w:r>
      <w:r w:rsidR="006F77A2">
        <w:rPr>
          <w:rFonts w:ascii="Times New Roman" w:hAnsi="Times New Roman" w:cs="Times New Roman"/>
          <w:sz w:val="24"/>
          <w:szCs w:val="24"/>
        </w:rPr>
        <w:t xml:space="preserve"> </w:t>
      </w:r>
      <w:r w:rsidRPr="007631B9">
        <w:rPr>
          <w:rFonts w:ascii="Times New Roman" w:hAnsi="Times New Roman" w:cs="Times New Roman"/>
          <w:sz w:val="24"/>
          <w:szCs w:val="24"/>
        </w:rPr>
        <w:t xml:space="preserve">на извору 01 - Приходи из буџета. Како би предшколске установе могле да прате остварење ових прихода, односно извршавање обавеза родитеља по том основу, </w:t>
      </w:r>
      <w:r w:rsidR="00753F6F">
        <w:rPr>
          <w:rFonts w:ascii="Times New Roman" w:hAnsi="Times New Roman" w:cs="Times New Roman"/>
          <w:sz w:val="24"/>
          <w:szCs w:val="24"/>
        </w:rPr>
        <w:t>Одељење за ф</w:t>
      </w:r>
      <w:r w:rsidR="00545E29">
        <w:rPr>
          <w:rFonts w:ascii="Times New Roman" w:hAnsi="Times New Roman" w:cs="Times New Roman"/>
          <w:sz w:val="24"/>
          <w:szCs w:val="24"/>
        </w:rPr>
        <w:t>и</w:t>
      </w:r>
      <w:r w:rsidR="00753F6F">
        <w:rPr>
          <w:rFonts w:ascii="Times New Roman" w:hAnsi="Times New Roman" w:cs="Times New Roman"/>
          <w:sz w:val="24"/>
          <w:szCs w:val="24"/>
        </w:rPr>
        <w:t>нансије редовно дост</w:t>
      </w:r>
      <w:r w:rsidR="008221F0">
        <w:rPr>
          <w:rFonts w:ascii="Times New Roman" w:hAnsi="Times New Roman" w:cs="Times New Roman"/>
          <w:sz w:val="24"/>
          <w:szCs w:val="24"/>
        </w:rPr>
        <w:t>a</w:t>
      </w:r>
      <w:r w:rsidR="00753F6F">
        <w:rPr>
          <w:rFonts w:ascii="Times New Roman" w:hAnsi="Times New Roman" w:cs="Times New Roman"/>
          <w:sz w:val="24"/>
          <w:szCs w:val="24"/>
        </w:rPr>
        <w:t xml:space="preserve">вља </w:t>
      </w:r>
      <w:r w:rsidRPr="007631B9">
        <w:rPr>
          <w:rFonts w:ascii="Times New Roman" w:hAnsi="Times New Roman" w:cs="Times New Roman"/>
          <w:sz w:val="24"/>
          <w:szCs w:val="24"/>
        </w:rPr>
        <w:t>изводе о оствареним уплатама овог прихода на прописан рачун за уплату јавн</w:t>
      </w:r>
      <w:r w:rsidR="008221F0">
        <w:rPr>
          <w:rFonts w:ascii="Times New Roman" w:hAnsi="Times New Roman" w:cs="Times New Roman"/>
          <w:sz w:val="24"/>
          <w:szCs w:val="24"/>
        </w:rPr>
        <w:t>их прихода Предшколској</w:t>
      </w:r>
      <w:r w:rsidRPr="007631B9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8221F0">
        <w:rPr>
          <w:rFonts w:ascii="Times New Roman" w:hAnsi="Times New Roman" w:cs="Times New Roman"/>
          <w:sz w:val="24"/>
          <w:szCs w:val="24"/>
        </w:rPr>
        <w:t>и</w:t>
      </w:r>
      <w:r w:rsidRPr="00763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2AA" w:rsidRDefault="001A02AA" w:rsidP="008221F0">
      <w:pPr>
        <w:pStyle w:val="Default"/>
        <w:ind w:firstLine="720"/>
        <w:jc w:val="both"/>
        <w:rPr>
          <w:b/>
          <w:bCs/>
        </w:rPr>
      </w:pPr>
      <w:r w:rsidRPr="00776AD4">
        <w:t xml:space="preserve">У поступку припреме и доношења буџета, треба планирати расходе за реализацију мера и активности утврђених посебним законима, у оквиру одређених програма, програмских активности, односно пројеката, с тим што се </w:t>
      </w:r>
      <w:r w:rsidRPr="00776AD4">
        <w:rPr>
          <w:b/>
          <w:bCs/>
        </w:rPr>
        <w:t>исти могу извршавати само до висине апропријације утврђене одлуком о буџету</w:t>
      </w:r>
      <w:r w:rsidRPr="00776AD4">
        <w:t xml:space="preserve">, </w:t>
      </w:r>
      <w:r w:rsidRPr="00776AD4">
        <w:rPr>
          <w:b/>
          <w:bCs/>
        </w:rPr>
        <w:t xml:space="preserve">без обзира на то да ли су ови приходи остварени у већем или мањем обиму од планираног. </w:t>
      </w:r>
    </w:p>
    <w:p w:rsidR="00FF6BBE" w:rsidRPr="00FF6BBE" w:rsidRDefault="00FF6BBE" w:rsidP="008221F0">
      <w:pPr>
        <w:pStyle w:val="Default"/>
        <w:ind w:firstLine="720"/>
        <w:jc w:val="both"/>
      </w:pPr>
    </w:p>
    <w:p w:rsidR="000436DA" w:rsidRDefault="00FF6BBE" w:rsidP="008221F0">
      <w:pPr>
        <w:pStyle w:val="Default"/>
        <w:ind w:firstLine="720"/>
        <w:jc w:val="both"/>
        <w:rPr>
          <w:color w:val="auto"/>
        </w:rPr>
      </w:pPr>
      <w:r w:rsidRPr="00FF6BBE">
        <w:rPr>
          <w:color w:val="auto"/>
        </w:rPr>
        <w:t>Законом о изменама и допунама Закона о буџетском систему („Службени гласник РС”, број 103/15) измењена је дефиниција наменских прихода, тако да су према усвојеном решењу наменски јавни приходи и примања дефинисани као јавни приходи, односно примања чије је коришћење и намена утврђена уговором о донацији, кредиту, односно зајму, као и средства самодоприноса чија се намена утврђује одлуком јединице локалне самоуправе.</w:t>
      </w:r>
    </w:p>
    <w:p w:rsidR="008221F0" w:rsidRPr="008221F0" w:rsidRDefault="008221F0" w:rsidP="008221F0">
      <w:pPr>
        <w:pStyle w:val="Default"/>
        <w:ind w:firstLine="720"/>
        <w:jc w:val="both"/>
        <w:rPr>
          <w:color w:val="auto"/>
        </w:rPr>
      </w:pPr>
      <w:r w:rsidRPr="008221F0">
        <w:t xml:space="preserve">У поступку припреме и доношења буџета, треба планирати расходе за реализацију мера и активности утврђених посебним законима, у оквиру одређених програма, програмских активности, односно пројеката, с тим што се </w:t>
      </w:r>
      <w:r w:rsidRPr="008221F0">
        <w:rPr>
          <w:b/>
          <w:bCs/>
        </w:rPr>
        <w:t>исти могу извршавати само до висине апропријације утврђене одлуком о буџету</w:t>
      </w:r>
      <w:r w:rsidRPr="008221F0">
        <w:t xml:space="preserve">, </w:t>
      </w:r>
      <w:r w:rsidRPr="008221F0">
        <w:rPr>
          <w:b/>
          <w:bCs/>
        </w:rPr>
        <w:t>без обзира на то да ли су ови приходи остварени у већем или мањем обиму од планираног.</w:t>
      </w:r>
    </w:p>
    <w:p w:rsidR="001A02AA" w:rsidRPr="00776AD4" w:rsidRDefault="001A02AA" w:rsidP="008221F0">
      <w:pPr>
        <w:pStyle w:val="Default"/>
        <w:ind w:firstLine="720"/>
        <w:jc w:val="both"/>
      </w:pPr>
      <w:r w:rsidRPr="00776AD4">
        <w:t xml:space="preserve">Уколико се у току године остваре наведени приходи у обиму већем од планираног актом у буџету, </w:t>
      </w:r>
      <w:r w:rsidRPr="00776AD4">
        <w:rPr>
          <w:b/>
          <w:bCs/>
        </w:rPr>
        <w:t>исти се могу користити и за извршавање других врста расхода</w:t>
      </w:r>
      <w:r w:rsidRPr="00776AD4">
        <w:t xml:space="preserve">, с обзиром на то да представљају опште приходе буџета којима се финансира јавна потрошња и који немају претходно утврђену намену. Такође, планирање висине расхода за намене предвиђене посебним прописима (чије одредбе нису стављени ван снаге) у поступку припреме и доношења буџета за наредну годину није условљено висином остварења тих прихода у текућој години. </w:t>
      </w:r>
    </w:p>
    <w:p w:rsidR="00135A67" w:rsidRDefault="00135A67" w:rsidP="00A86848">
      <w:pPr>
        <w:pStyle w:val="Default"/>
        <w:ind w:firstLine="720"/>
        <w:rPr>
          <w:sz w:val="23"/>
          <w:szCs w:val="23"/>
        </w:rPr>
      </w:pPr>
    </w:p>
    <w:p w:rsidR="00135A67" w:rsidRDefault="00135A67" w:rsidP="00A86848">
      <w:pPr>
        <w:pStyle w:val="Default"/>
        <w:spacing w:after="120"/>
        <w:ind w:firstLine="720"/>
        <w:jc w:val="both"/>
      </w:pPr>
      <w:r w:rsidRPr="00135A67">
        <w:t xml:space="preserve">У складу са чланом 28. Закона о буџетском систему </w:t>
      </w:r>
      <w:r w:rsidRPr="007334A2">
        <w:rPr>
          <w:b/>
        </w:rPr>
        <w:t>образложење</w:t>
      </w:r>
      <w:r w:rsidRPr="00135A67">
        <w:t xml:space="preserve"> одлуке о буџету садржи, између осталог, </w:t>
      </w:r>
      <w:r w:rsidRPr="002576EF">
        <w:rPr>
          <w:b/>
        </w:rPr>
        <w:t>програмске информације</w:t>
      </w:r>
      <w:r w:rsidRPr="00135A67">
        <w:t xml:space="preserve"> које чине описи програма, програмских активности и пројеката корисника буџетских средстава, циљеве који се желе постићи у средњорочном периоду, као и показатеље учинака за праћење постизања наведених циљева. </w:t>
      </w:r>
    </w:p>
    <w:p w:rsidR="00DD2147" w:rsidRDefault="00DD2147" w:rsidP="00A86848">
      <w:pPr>
        <w:autoSpaceDE w:val="0"/>
        <w:autoSpaceDN w:val="0"/>
        <w:adjustRightInd w:val="0"/>
        <w:spacing w:after="120"/>
        <w:ind w:firstLine="720"/>
        <w:jc w:val="both"/>
      </w:pPr>
      <w:r w:rsidRPr="005846A0">
        <w:t>Информације о оствареним учинцима програма користе се за унапређење ефективности и ефикасности јавне потрошње, као и за праћење квалитета јавних услуга. Наиме, праћење и извештавање дају кључне повратне</w:t>
      </w:r>
      <w:r w:rsidRPr="00F4767A">
        <w:t xml:space="preserve"> информације о томе да ли се активности корисника буџетских средстава спроводе у складу са постављеним циљевима и финансијским планом, као и о томе какав утицај резултат остварен у извештајном периоду има на учинке и средства планирана за наредни период. Уколико се утврде одступања, ове информације омогућавају благовремену измену програмских активности, односно пројеката или прерасподелу буџетских средства у наредном периоду у циљу остварења бољих резултата. Обавезност објављивања извештаја о учинку програма омогућава да и јавност добије увид у резултате остварене кроз буџетску потрошњу. </w:t>
      </w:r>
    </w:p>
    <w:p w:rsidR="00545E29" w:rsidRDefault="00DD2147" w:rsidP="00A86848">
      <w:pPr>
        <w:autoSpaceDE w:val="0"/>
        <w:autoSpaceDN w:val="0"/>
        <w:adjustRightInd w:val="0"/>
        <w:ind w:firstLine="720"/>
        <w:jc w:val="both"/>
      </w:pPr>
      <w:r w:rsidRPr="00DD2147">
        <w:t xml:space="preserve">Oбавезa корисника буџета је да на основу праћења спровођења програма, у складу са Упуством за праћење и извештавање о учинку програма, израђују годишњи </w:t>
      </w:r>
      <w:r w:rsidRPr="00DD2147">
        <w:lastRenderedPageBreak/>
        <w:t xml:space="preserve">извештај о учинку програма, односно извештај о учинку програма за првих шест месеци текуће фискалне године (полугодишњи извештај) и достављају надлежном органу у роковима предвиђеним буџетским календаром. </w:t>
      </w:r>
      <w:r w:rsidRPr="00DD2147">
        <w:rPr>
          <w:b/>
        </w:rPr>
        <w:t>Буџетски корисници</w:t>
      </w:r>
      <w:r w:rsidRPr="00DD2147">
        <w:t xml:space="preserve"> дужни су да </w:t>
      </w:r>
      <w:r w:rsidRPr="00DD2147">
        <w:rPr>
          <w:b/>
        </w:rPr>
        <w:t>на својим интернет страницама објављују годишње финансијске извештаје</w:t>
      </w:r>
      <w:r w:rsidRPr="00DD2147">
        <w:t xml:space="preserve"> и </w:t>
      </w:r>
      <w:r w:rsidRPr="00DD2147">
        <w:rPr>
          <w:b/>
        </w:rPr>
        <w:t>годишњи извештај о учинку програма</w:t>
      </w:r>
      <w:r w:rsidRPr="00DD2147">
        <w:t>, у складу са општим правилима о транспарентности.</w:t>
      </w:r>
      <w:r w:rsidRPr="005846A0">
        <w:t xml:space="preserve"> </w:t>
      </w:r>
    </w:p>
    <w:p w:rsidR="00F764CD" w:rsidRPr="00F764CD" w:rsidRDefault="00F764CD" w:rsidP="00A86848">
      <w:pPr>
        <w:autoSpaceDE w:val="0"/>
        <w:autoSpaceDN w:val="0"/>
        <w:adjustRightInd w:val="0"/>
        <w:ind w:firstLine="720"/>
        <w:jc w:val="both"/>
      </w:pPr>
    </w:p>
    <w:p w:rsidR="00DD2147" w:rsidRDefault="00545E29" w:rsidP="00A86848">
      <w:pPr>
        <w:autoSpaceDE w:val="0"/>
        <w:autoSpaceDN w:val="0"/>
        <w:adjustRightInd w:val="0"/>
        <w:ind w:firstLine="720"/>
        <w:jc w:val="both"/>
      </w:pPr>
      <w:r w:rsidRPr="00545E29">
        <w:t xml:space="preserve">У складу са чланом 27а Закона о буџетском систему извршни орган локалне власти је одговоран за спровођење фискалне политике и управљање јавном имовином, приходима и примањима и расходима и издацима. Законом су уређена правила и начин на који ће се спроводити ова одговорност, односно утврђени су општи принципи, процедуре и правила одговорног фискалног управљања којих се требају придржавати органи локалне власти (члан 27б Закона). С обзиром на то да су, у циљу што ефикаснијег спровођења фискалне политике, Законом утврђена и фискална правила за локалну власт, односно Законом је утврђено ограничење у погледу висине стварања фискалног дефицита (члан 27ж Закона), фискални дефицит локалне власти може настати само као резултат јавних инвестиција и </w:t>
      </w:r>
      <w:r w:rsidRPr="00545E29">
        <w:rPr>
          <w:b/>
          <w:bCs/>
        </w:rPr>
        <w:t xml:space="preserve">не може </w:t>
      </w:r>
      <w:r w:rsidRPr="00545E29">
        <w:t>бити већи од 10% њених прихода у тој години.</w:t>
      </w:r>
    </w:p>
    <w:p w:rsidR="00D352C4" w:rsidRPr="00D352C4" w:rsidRDefault="00D352C4" w:rsidP="00A86848">
      <w:pPr>
        <w:autoSpaceDE w:val="0"/>
        <w:autoSpaceDN w:val="0"/>
        <w:adjustRightInd w:val="0"/>
        <w:ind w:firstLine="720"/>
        <w:jc w:val="both"/>
      </w:pPr>
    </w:p>
    <w:p w:rsidR="00FF2232" w:rsidRDefault="00FF2232" w:rsidP="002576EF">
      <w:pPr>
        <w:ind w:firstLine="720"/>
        <w:jc w:val="both"/>
      </w:pPr>
      <w:r w:rsidRPr="002F3F26">
        <w:rPr>
          <w:lang w:val="sr-Cyrl-CS"/>
        </w:rPr>
        <w:t xml:space="preserve">Чланом 41. Закона дефинисано је да су индиректни корисници средстава буџета локалне власти </w:t>
      </w:r>
      <w:r w:rsidRPr="00946057">
        <w:rPr>
          <w:lang w:val="sr-Cyrl-CS"/>
        </w:rPr>
        <w:t>обавезни да припреме предлог финансијског плана на основу смерница које се односе на буџет локалне власти.</w:t>
      </w:r>
      <w:r w:rsidR="00946057" w:rsidRPr="00946057">
        <w:rPr>
          <w:lang w:val="sr-Cyrl-CS"/>
        </w:rPr>
        <w:t xml:space="preserve"> </w:t>
      </w:r>
      <w:r w:rsidR="00946057">
        <w:rPr>
          <w:lang w:val="sr-Cyrl-CS"/>
        </w:rPr>
        <w:t>П</w:t>
      </w:r>
      <w:r w:rsidR="00946057" w:rsidRPr="00946057">
        <w:t xml:space="preserve">редлог финансијског плана </w:t>
      </w:r>
      <w:r w:rsidR="00946057">
        <w:t>за буџетску 202</w:t>
      </w:r>
      <w:r w:rsidR="005633AA">
        <w:t>2</w:t>
      </w:r>
      <w:r w:rsidR="00946057">
        <w:t xml:space="preserve">. </w:t>
      </w:r>
      <w:r w:rsidR="00946057" w:rsidRPr="00946057">
        <w:t xml:space="preserve">и наредне две фискалне године, који садржи извештај о учинку програма за првих шест </w:t>
      </w:r>
      <w:r w:rsidR="00946057">
        <w:t>202</w:t>
      </w:r>
      <w:r w:rsidR="005633AA">
        <w:t>1</w:t>
      </w:r>
      <w:r w:rsidR="00946057">
        <w:t>.</w:t>
      </w:r>
      <w:r w:rsidR="00946057" w:rsidRPr="00946057">
        <w:t xml:space="preserve"> године</w:t>
      </w:r>
      <w:r w:rsidR="00946057" w:rsidRPr="00946057">
        <w:rPr>
          <w:lang w:val="sr-Cyrl-CS"/>
        </w:rPr>
        <w:t xml:space="preserve"> </w:t>
      </w:r>
      <w:r w:rsidR="00946057" w:rsidRPr="002F3F26">
        <w:rPr>
          <w:lang w:val="sr-Cyrl-CS"/>
        </w:rPr>
        <w:t>индиректни корисници</w:t>
      </w:r>
      <w:r w:rsidR="00946057">
        <w:rPr>
          <w:lang w:val="sr-Cyrl-CS"/>
        </w:rPr>
        <w:t xml:space="preserve"> у обавези су да доставе одељењу за финансије </w:t>
      </w:r>
      <w:r w:rsidR="00946057" w:rsidRPr="00C108C3">
        <w:rPr>
          <w:b/>
          <w:lang w:val="sr-Cyrl-CS"/>
        </w:rPr>
        <w:t xml:space="preserve">најкасније до 1. септембра </w:t>
      </w:r>
      <w:r w:rsidR="002576EF">
        <w:rPr>
          <w:b/>
        </w:rPr>
        <w:t>2</w:t>
      </w:r>
      <w:r w:rsidR="00946057" w:rsidRPr="00C108C3">
        <w:rPr>
          <w:b/>
        </w:rPr>
        <w:t>02</w:t>
      </w:r>
      <w:r w:rsidR="005633AA">
        <w:rPr>
          <w:b/>
        </w:rPr>
        <w:t>1</w:t>
      </w:r>
      <w:r w:rsidR="00946057" w:rsidRPr="00C108C3">
        <w:rPr>
          <w:b/>
        </w:rPr>
        <w:t>. године</w:t>
      </w:r>
      <w:r w:rsidR="00946057" w:rsidRPr="00946057">
        <w:t>.</w:t>
      </w:r>
    </w:p>
    <w:p w:rsidR="005E39CA" w:rsidRPr="005E39CA" w:rsidRDefault="005E39CA" w:rsidP="002576EF">
      <w:pPr>
        <w:ind w:firstLine="720"/>
        <w:jc w:val="both"/>
      </w:pPr>
    </w:p>
    <w:p w:rsidR="005E39CA" w:rsidRDefault="005E39CA" w:rsidP="00A86848">
      <w:pPr>
        <w:ind w:firstLine="720"/>
        <w:jc w:val="both"/>
      </w:pPr>
      <w:r w:rsidRPr="00A86848">
        <w:t>Полазећи од одредаба Закона о буџетском систему, којима је дефинисано да одлука о буџету јединице локалне самоуправе треба да буде креирана уз поштовање све четири класификације које сачињавају стандардни класификациони оквир за буџетски систем, према изворима финансирања, у Упутству се посебно указује на неопходност поштовања одредаба члана 2. тач. 7) и 8) Закона о буџетском систему којима су дефинисани директни и индиректни корисници буџетских средстава</w:t>
      </w:r>
      <w:r w:rsidRPr="00DC584E">
        <w:t>.</w:t>
      </w:r>
    </w:p>
    <w:p w:rsidR="00800858" w:rsidRPr="005E39CA" w:rsidRDefault="00800858" w:rsidP="00A86848">
      <w:pPr>
        <w:autoSpaceDE w:val="0"/>
        <w:autoSpaceDN w:val="0"/>
        <w:adjustRightInd w:val="0"/>
        <w:jc w:val="both"/>
      </w:pPr>
    </w:p>
    <w:p w:rsidR="00BA60BC" w:rsidRPr="00EE6A12" w:rsidRDefault="00652046" w:rsidP="00A86848">
      <w:pPr>
        <w:autoSpaceDE w:val="0"/>
        <w:autoSpaceDN w:val="0"/>
        <w:adjustRightInd w:val="0"/>
        <w:ind w:firstLine="720"/>
        <w:jc w:val="both"/>
      </w:pPr>
      <w:r w:rsidRPr="009A00D1">
        <w:t xml:space="preserve"> </w:t>
      </w:r>
      <w:r w:rsidR="00AF1A53" w:rsidRPr="00EE6A12">
        <w:t>Значајно је истаћи да је у</w:t>
      </w:r>
      <w:r w:rsidRPr="00EE6A12">
        <w:t xml:space="preserve"> </w:t>
      </w:r>
      <w:r w:rsidR="00DA4CDE" w:rsidRPr="00EE6A12">
        <w:t>јулу</w:t>
      </w:r>
      <w:r w:rsidRPr="00EE6A12">
        <w:t xml:space="preserve"> 20</w:t>
      </w:r>
      <w:r w:rsidR="00BA60BC" w:rsidRPr="00EE6A12">
        <w:t>19</w:t>
      </w:r>
      <w:r w:rsidRPr="00EE6A12">
        <w:t>. г</w:t>
      </w:r>
      <w:r w:rsidR="00DA3B8B" w:rsidRPr="00EE6A12">
        <w:t>одине Влада усвојила Уредбу</w:t>
      </w:r>
      <w:r w:rsidRPr="00EE6A12">
        <w:t xml:space="preserve"> </w:t>
      </w:r>
      <w:r w:rsidR="00DA3B8B" w:rsidRPr="00EE6A12">
        <w:rPr>
          <w:rStyle w:val="naslovpropisa1a2"/>
          <w:rFonts w:ascii="Times New Roman" w:hAnsi="Times New Roman" w:cs="Times New Roman"/>
          <w:color w:val="auto"/>
          <w:kern w:val="36"/>
          <w:sz w:val="24"/>
          <w:szCs w:val="24"/>
        </w:rPr>
        <w:t xml:space="preserve">о управљању капиталним пројектима. </w:t>
      </w:r>
      <w:r w:rsidR="00DA3B8B" w:rsidRPr="00EE6A12">
        <w:t xml:space="preserve">Овом </w:t>
      </w:r>
      <w:r w:rsidR="00BA60BC" w:rsidRPr="00EE6A12">
        <w:rPr>
          <w:lang w:val="sr-Latn-CS"/>
        </w:rPr>
        <w:t>уредбом ближе се уређују садржина, начин припреме, оцена и одабир, као и праћење спровођења и извештавање о имплементацији капиталних пројеката, у циљу обезбеђивања вредновања свих позитивних и негативних ефеката тих пројеката и осигурало делотворно и ефикасно управљање јавним средствима.</w:t>
      </w:r>
    </w:p>
    <w:p w:rsidR="00695E19" w:rsidRPr="00EE6A12" w:rsidRDefault="00695E19" w:rsidP="00A86848">
      <w:pPr>
        <w:autoSpaceDE w:val="0"/>
        <w:autoSpaceDN w:val="0"/>
        <w:adjustRightInd w:val="0"/>
        <w:ind w:firstLine="720"/>
        <w:jc w:val="both"/>
      </w:pPr>
    </w:p>
    <w:p w:rsidR="006A6F99" w:rsidRPr="00EE6A12" w:rsidRDefault="006A6F99" w:rsidP="00A86848">
      <w:pPr>
        <w:autoSpaceDE w:val="0"/>
        <w:autoSpaceDN w:val="0"/>
        <w:adjustRightInd w:val="0"/>
        <w:ind w:firstLine="720"/>
        <w:jc w:val="both"/>
      </w:pPr>
      <w:r w:rsidRPr="00EE6A12">
        <w:t>Упутством је наглашено да се Капитални пројекти планирају и укључују у буџет у складу са одредбама Уредбе о управљању капиталним пројектима („Службени гласник РС”, бр. 51/19).</w:t>
      </w:r>
    </w:p>
    <w:p w:rsidR="00776AD4" w:rsidRDefault="00776AD4" w:rsidP="00A86848">
      <w:pPr>
        <w:pStyle w:val="normal0"/>
        <w:spacing w:after="24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0BC">
        <w:rPr>
          <w:rFonts w:ascii="Times New Roman" w:hAnsi="Times New Roman" w:cs="Times New Roman"/>
          <w:sz w:val="24"/>
          <w:szCs w:val="24"/>
        </w:rPr>
        <w:t>Уколико Одлука о буџету локалне власти буде</w:t>
      </w:r>
      <w:r w:rsidRPr="009A00D1">
        <w:rPr>
          <w:rFonts w:ascii="Times New Roman" w:hAnsi="Times New Roman" w:cs="Times New Roman"/>
          <w:sz w:val="24"/>
          <w:szCs w:val="24"/>
        </w:rPr>
        <w:t xml:space="preserve"> супротна смерницама из Упутства у делу којим се локалној власти дају смернице за планирање укупног обима прихода, масе средстава за плате, броја запослених и субвенција у одлуци о буџету, министар може привремено обуставити пренос трансферних средстава из буџета Републике Србије, односно припадајућег дела пореза на зараде и пореза на добит правних лица, до момента док се одлука о буџету не усклади са упутством.</w:t>
      </w:r>
    </w:p>
    <w:p w:rsidR="00982F9E" w:rsidRDefault="00EC6ABA" w:rsidP="00A86848">
      <w:pPr>
        <w:pStyle w:val="Default"/>
        <w:jc w:val="center"/>
        <w:rPr>
          <w:b/>
          <w:bCs/>
        </w:rPr>
      </w:pPr>
      <w:r w:rsidRPr="00171982">
        <w:rPr>
          <w:b/>
          <w:bCs/>
        </w:rPr>
        <w:lastRenderedPageBreak/>
        <w:t xml:space="preserve">ОСНОВНЕ ЕКОНОМСКЕ ПРЕТПОСТАВКЕ И СМЕРНИЦЕ ЗА ПРИПРЕМУ ПРЕДЛОГА ФИНАНСИЈСКОГ ПЛАНА БУЏЕТСКОГ КОРИСНИКА И ОДЛУКЕ О БУЏЕТУ ЛОКАЛНЕ ВЛАСТИ СА СРЕДЊОРОЧНИМ ПРОЈЕКЦИЈАМА </w:t>
      </w:r>
    </w:p>
    <w:p w:rsidR="00D10A95" w:rsidRPr="00D10A95" w:rsidRDefault="00D10A95" w:rsidP="00A86848">
      <w:pPr>
        <w:pStyle w:val="Default"/>
        <w:jc w:val="center"/>
        <w:rPr>
          <w:b/>
          <w:bCs/>
        </w:rPr>
      </w:pPr>
    </w:p>
    <w:p w:rsidR="00D10A95" w:rsidRDefault="00D10A95" w:rsidP="00A8684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  <w:r w:rsidRPr="00D22AA2">
        <w:rPr>
          <w:rFonts w:eastAsiaTheme="minorHAnsi"/>
          <w:bCs/>
          <w:color w:val="000000"/>
        </w:rPr>
        <w:t>Чланом 40</w:t>
      </w:r>
      <w:r>
        <w:rPr>
          <w:rFonts w:eastAsiaTheme="minorHAnsi"/>
          <w:bCs/>
          <w:color w:val="000000"/>
        </w:rPr>
        <w:t>.</w:t>
      </w:r>
      <w:r w:rsidRPr="00D22AA2">
        <w:rPr>
          <w:rFonts w:eastAsiaTheme="minorHAnsi"/>
          <w:b/>
          <w:bCs/>
          <w:color w:val="000000"/>
        </w:rPr>
        <w:t xml:space="preserve"> </w:t>
      </w:r>
      <w:r w:rsidRPr="002F3F26">
        <w:rPr>
          <w:lang w:val="ru-RU"/>
        </w:rPr>
        <w:t>Закон</w:t>
      </w:r>
      <w:r>
        <w:t>а</w:t>
      </w:r>
      <w:r w:rsidRPr="002F3F26">
        <w:rPr>
          <w:lang w:val="ru-RU"/>
        </w:rPr>
        <w:t xml:space="preserve"> о буџетском систему </w:t>
      </w:r>
      <w:r w:rsidRPr="002F3F26">
        <w:t>систему</w:t>
      </w:r>
      <w:r>
        <w:t xml:space="preserve"> предвиђено је да</w:t>
      </w:r>
      <w:r>
        <w:rPr>
          <w:rFonts w:eastAsiaTheme="minorHAnsi"/>
          <w:color w:val="000000"/>
        </w:rPr>
        <w:t xml:space="preserve"> по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добијању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Фискалне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стратегије</w:t>
      </w:r>
      <w:r w:rsidRPr="00D22AA2">
        <w:rPr>
          <w:rFonts w:eastAsiaTheme="minorHAnsi"/>
          <w:color w:val="000000"/>
        </w:rPr>
        <w:t xml:space="preserve">, </w:t>
      </w:r>
      <w:r>
        <w:rPr>
          <w:rFonts w:eastAsiaTheme="minorHAnsi"/>
          <w:color w:val="000000"/>
        </w:rPr>
        <w:t>локални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орган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управе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надлежан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за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финансије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доставља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директним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корисницима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средстава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буџета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локалне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власти</w:t>
      </w:r>
      <w:r w:rsidRPr="00D22AA2">
        <w:rPr>
          <w:rFonts w:eastAsiaTheme="minorHAnsi"/>
          <w:color w:val="000000"/>
        </w:rPr>
        <w:t xml:space="preserve"> </w:t>
      </w:r>
      <w:r w:rsidRPr="00002F20">
        <w:rPr>
          <w:rFonts w:eastAsiaTheme="minorHAnsi"/>
          <w:b/>
          <w:color w:val="000000"/>
        </w:rPr>
        <w:t>упутство</w:t>
      </w:r>
      <w:r w:rsidRPr="00D22AA2">
        <w:rPr>
          <w:rFonts w:eastAsiaTheme="minorHAnsi"/>
          <w:b/>
          <w:color w:val="000000"/>
        </w:rPr>
        <w:t xml:space="preserve"> </w:t>
      </w:r>
      <w:r w:rsidRPr="00002F20">
        <w:rPr>
          <w:rFonts w:eastAsiaTheme="minorHAnsi"/>
          <w:b/>
          <w:color w:val="000000"/>
        </w:rPr>
        <w:t>за</w:t>
      </w:r>
      <w:r w:rsidRPr="00D22AA2">
        <w:rPr>
          <w:rFonts w:eastAsiaTheme="minorHAnsi"/>
          <w:b/>
          <w:color w:val="000000"/>
        </w:rPr>
        <w:t xml:space="preserve"> </w:t>
      </w:r>
      <w:r w:rsidRPr="00002F20">
        <w:rPr>
          <w:rFonts w:eastAsiaTheme="minorHAnsi"/>
          <w:b/>
          <w:color w:val="000000"/>
        </w:rPr>
        <w:t>припрему</w:t>
      </w:r>
      <w:r w:rsidRPr="00D22AA2">
        <w:rPr>
          <w:rFonts w:eastAsiaTheme="minorHAnsi"/>
          <w:b/>
          <w:color w:val="000000"/>
        </w:rPr>
        <w:t xml:space="preserve"> </w:t>
      </w:r>
      <w:r w:rsidRPr="00002F20">
        <w:rPr>
          <w:rFonts w:eastAsiaTheme="minorHAnsi"/>
          <w:b/>
          <w:color w:val="000000"/>
        </w:rPr>
        <w:t>буџета</w:t>
      </w:r>
      <w:r w:rsidRPr="00D22AA2">
        <w:rPr>
          <w:rFonts w:eastAsiaTheme="minorHAnsi"/>
          <w:b/>
          <w:color w:val="000000"/>
        </w:rPr>
        <w:t xml:space="preserve"> </w:t>
      </w:r>
      <w:r w:rsidRPr="00002F20">
        <w:rPr>
          <w:rFonts w:eastAsiaTheme="minorHAnsi"/>
          <w:b/>
          <w:color w:val="000000"/>
        </w:rPr>
        <w:t>локалне</w:t>
      </w:r>
      <w:r w:rsidRPr="00D22AA2">
        <w:rPr>
          <w:rFonts w:eastAsiaTheme="minorHAnsi"/>
          <w:b/>
          <w:color w:val="000000"/>
        </w:rPr>
        <w:t xml:space="preserve"> </w:t>
      </w:r>
      <w:r w:rsidRPr="00002F20">
        <w:rPr>
          <w:rFonts w:eastAsiaTheme="minorHAnsi"/>
          <w:b/>
          <w:color w:val="000000"/>
        </w:rPr>
        <w:t>власти</w:t>
      </w:r>
      <w:r w:rsidRPr="00D22AA2">
        <w:rPr>
          <w:rFonts w:eastAsiaTheme="minorHAnsi"/>
          <w:b/>
          <w:color w:val="000000"/>
        </w:rPr>
        <w:t xml:space="preserve">. </w:t>
      </w:r>
      <w:r>
        <w:rPr>
          <w:rFonts w:eastAsiaTheme="minorHAnsi"/>
          <w:color w:val="000000"/>
        </w:rPr>
        <w:t>Упутство треба да садржи</w:t>
      </w:r>
      <w:r w:rsidRPr="00D22AA2">
        <w:rPr>
          <w:rFonts w:eastAsiaTheme="minorHAnsi"/>
          <w:color w:val="000000"/>
        </w:rPr>
        <w:t xml:space="preserve">: </w:t>
      </w:r>
    </w:p>
    <w:p w:rsidR="00D10A95" w:rsidRPr="00D10A95" w:rsidRDefault="00D10A95" w:rsidP="00A86848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color w:val="000000"/>
        </w:rPr>
      </w:pPr>
    </w:p>
    <w:p w:rsidR="00D10A95" w:rsidRPr="00D22AA2" w:rsidRDefault="003C4E6E" w:rsidP="00A8684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-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основне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економске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претпоставке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и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смернице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за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припрему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нацрта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буџета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локалне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власти</w:t>
      </w:r>
      <w:r w:rsidR="00D10A95" w:rsidRPr="00D22AA2">
        <w:rPr>
          <w:rFonts w:eastAsiaTheme="minorHAnsi"/>
          <w:color w:val="000000"/>
        </w:rPr>
        <w:t xml:space="preserve">; </w:t>
      </w:r>
    </w:p>
    <w:p w:rsidR="00D10A95" w:rsidRPr="00D22AA2" w:rsidRDefault="003C4E6E" w:rsidP="00A8684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-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опис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планиране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политике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локалне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власти</w:t>
      </w:r>
      <w:r w:rsidR="00D10A95" w:rsidRPr="00D22AA2">
        <w:rPr>
          <w:rFonts w:eastAsiaTheme="minorHAnsi"/>
          <w:color w:val="000000"/>
        </w:rPr>
        <w:t xml:space="preserve">; </w:t>
      </w:r>
    </w:p>
    <w:p w:rsidR="00D10A95" w:rsidRPr="00D22AA2" w:rsidRDefault="003C4E6E" w:rsidP="00A8684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-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процене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прихода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и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примања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и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расхода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и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издатака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буџета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локалне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власти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за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буџетску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и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наредне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две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фискалне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године</w:t>
      </w:r>
      <w:r w:rsidR="00D10A95" w:rsidRPr="00D22AA2">
        <w:rPr>
          <w:rFonts w:eastAsiaTheme="minorHAnsi"/>
          <w:color w:val="000000"/>
        </w:rPr>
        <w:t xml:space="preserve">; </w:t>
      </w:r>
    </w:p>
    <w:p w:rsidR="00D10A95" w:rsidRPr="00D22AA2" w:rsidRDefault="003C4E6E" w:rsidP="00A8684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-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обим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средстава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који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може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да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садржи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предлог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финансијског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плана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директног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корисника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средстава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буџета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локалне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власти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за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буџетску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годину</w:t>
      </w:r>
      <w:r w:rsidR="00D10A95" w:rsidRPr="00D22AA2">
        <w:rPr>
          <w:rFonts w:eastAsiaTheme="minorHAnsi"/>
          <w:color w:val="000000"/>
        </w:rPr>
        <w:t xml:space="preserve">, </w:t>
      </w:r>
      <w:r w:rsidR="00D10A95">
        <w:rPr>
          <w:rFonts w:eastAsiaTheme="minorHAnsi"/>
          <w:color w:val="000000"/>
        </w:rPr>
        <w:t>са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пројекцијама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за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наредне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две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фискалне</w:t>
      </w:r>
      <w:r w:rsidR="00D10A95" w:rsidRPr="00D22AA2">
        <w:rPr>
          <w:rFonts w:eastAsiaTheme="minorHAnsi"/>
          <w:color w:val="000000"/>
        </w:rPr>
        <w:t xml:space="preserve"> </w:t>
      </w:r>
      <w:r w:rsidR="00D10A95">
        <w:rPr>
          <w:rFonts w:eastAsiaTheme="minorHAnsi"/>
          <w:color w:val="000000"/>
        </w:rPr>
        <w:t>године</w:t>
      </w:r>
      <w:r w:rsidR="00D10A95" w:rsidRPr="00D22AA2">
        <w:rPr>
          <w:rFonts w:eastAsiaTheme="minorHAnsi"/>
          <w:color w:val="000000"/>
        </w:rPr>
        <w:t xml:space="preserve">; </w:t>
      </w:r>
    </w:p>
    <w:p w:rsidR="00D10A95" w:rsidRPr="00D22AA2" w:rsidRDefault="00D10A95" w:rsidP="00A8684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- смернице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за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припрему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средњорочних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планова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директних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корисника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средстава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буџета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локалних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власти</w:t>
      </w:r>
      <w:r w:rsidRPr="00D22AA2">
        <w:rPr>
          <w:rFonts w:eastAsiaTheme="minorHAnsi"/>
          <w:color w:val="000000"/>
        </w:rPr>
        <w:t xml:space="preserve">; </w:t>
      </w:r>
    </w:p>
    <w:p w:rsidR="00D10A95" w:rsidRPr="00D22AA2" w:rsidRDefault="00D10A95" w:rsidP="00A8684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- поступак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и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динамику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припреме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буџета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локалне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власти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и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предлога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финансијских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планова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директних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корисника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средстава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буџета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локалне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власти</w:t>
      </w:r>
      <w:r w:rsidRPr="00D22AA2">
        <w:rPr>
          <w:rFonts w:eastAsiaTheme="minorHAnsi"/>
          <w:color w:val="000000"/>
        </w:rPr>
        <w:t xml:space="preserve">; </w:t>
      </w:r>
    </w:p>
    <w:p w:rsidR="00D10A95" w:rsidRPr="00D22AA2" w:rsidRDefault="00D10A95" w:rsidP="00A8684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- начин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на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који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ће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се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у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образложењу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исказати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родна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анализа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буџета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локалне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власти</w:t>
      </w:r>
      <w:r w:rsidRPr="00D22AA2">
        <w:rPr>
          <w:rFonts w:eastAsiaTheme="minorHAnsi"/>
          <w:color w:val="000000"/>
        </w:rPr>
        <w:t xml:space="preserve">; </w:t>
      </w:r>
    </w:p>
    <w:p w:rsidR="00D10A95" w:rsidRDefault="00D10A95" w:rsidP="00A86848">
      <w:pPr>
        <w:ind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- начин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на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који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ће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се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исказати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програмске</w:t>
      </w:r>
      <w:r w:rsidRPr="00D22AA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информације.</w:t>
      </w:r>
    </w:p>
    <w:p w:rsidR="00982F9E" w:rsidRPr="00D10A95" w:rsidRDefault="00982F9E" w:rsidP="009A00D1">
      <w:pPr>
        <w:pStyle w:val="Default"/>
      </w:pPr>
    </w:p>
    <w:p w:rsidR="00773135" w:rsidRPr="00BA253F" w:rsidRDefault="005D5EAD" w:rsidP="00A86848">
      <w:pPr>
        <w:pStyle w:val="Default"/>
        <w:ind w:firstLine="720"/>
        <w:jc w:val="both"/>
        <w:rPr>
          <w:color w:val="auto"/>
        </w:rPr>
      </w:pPr>
      <w:r w:rsidRPr="003C4E6E">
        <w:t>Глобална криза која је погодила светску економију као последица пандемије корона</w:t>
      </w:r>
      <w:r w:rsidR="00A86848" w:rsidRPr="003C4E6E">
        <w:t xml:space="preserve"> </w:t>
      </w:r>
      <w:r w:rsidRPr="003C4E6E">
        <w:t xml:space="preserve">вируса неминовно се одразила и на привреду Србије. Међутим, достигнута фискална </w:t>
      </w:r>
      <w:r w:rsidRPr="003C4E6E">
        <w:rPr>
          <w:color w:val="auto"/>
        </w:rPr>
        <w:t xml:space="preserve">равнотежа и ценовна и финансијска стабилност у претходном периоду омогућиле су креирање свеобухватног економског пакета подршке привреди и становништву чиме је очувана макроекономска стабилност и створене основе за убрзани опоравак. </w:t>
      </w:r>
      <w:r w:rsidR="00BA253F" w:rsidRPr="003C4E6E">
        <w:rPr>
          <w:color w:val="auto"/>
        </w:rPr>
        <w:t xml:space="preserve">Полазећи од тога </w:t>
      </w:r>
      <w:r w:rsidR="00773135" w:rsidRPr="00C64510">
        <w:t>Републичким Упутством</w:t>
      </w:r>
      <w:r w:rsidR="00BA253F" w:rsidRPr="00BA253F">
        <w:rPr>
          <w:b/>
        </w:rPr>
        <w:t xml:space="preserve"> </w:t>
      </w:r>
      <w:r w:rsidR="00BA253F" w:rsidRPr="00002F20">
        <w:rPr>
          <w:b/>
        </w:rPr>
        <w:t>за</w:t>
      </w:r>
      <w:r w:rsidR="00BA253F" w:rsidRPr="00D22AA2">
        <w:rPr>
          <w:b/>
        </w:rPr>
        <w:t xml:space="preserve"> </w:t>
      </w:r>
      <w:r w:rsidR="00BA253F" w:rsidRPr="00002F20">
        <w:rPr>
          <w:b/>
        </w:rPr>
        <w:t>припрему</w:t>
      </w:r>
      <w:r w:rsidR="00BA253F" w:rsidRPr="00D22AA2">
        <w:rPr>
          <w:b/>
        </w:rPr>
        <w:t xml:space="preserve"> </w:t>
      </w:r>
      <w:r w:rsidR="00BA253F" w:rsidRPr="00002F20">
        <w:rPr>
          <w:b/>
        </w:rPr>
        <w:t>буџета</w:t>
      </w:r>
      <w:r w:rsidR="00BA253F" w:rsidRPr="00D22AA2">
        <w:rPr>
          <w:b/>
        </w:rPr>
        <w:t xml:space="preserve"> </w:t>
      </w:r>
      <w:r w:rsidR="00BA253F" w:rsidRPr="00002F20">
        <w:rPr>
          <w:b/>
        </w:rPr>
        <w:t>локалне</w:t>
      </w:r>
      <w:r w:rsidR="00BA253F" w:rsidRPr="00D22AA2">
        <w:rPr>
          <w:b/>
        </w:rPr>
        <w:t xml:space="preserve"> </w:t>
      </w:r>
      <w:r w:rsidR="00BA253F" w:rsidRPr="00002F20">
        <w:rPr>
          <w:b/>
        </w:rPr>
        <w:t>власти</w:t>
      </w:r>
      <w:r w:rsidR="00A86848">
        <w:rPr>
          <w:b/>
        </w:rPr>
        <w:t xml:space="preserve"> за 2022</w:t>
      </w:r>
      <w:r w:rsidR="00BA253F">
        <w:rPr>
          <w:b/>
        </w:rPr>
        <w:t xml:space="preserve">. </w:t>
      </w:r>
      <w:r w:rsidR="00D938C7">
        <w:rPr>
          <w:b/>
        </w:rPr>
        <w:t>г</w:t>
      </w:r>
      <w:r w:rsidR="00BA253F">
        <w:rPr>
          <w:b/>
        </w:rPr>
        <w:t>одину</w:t>
      </w:r>
      <w:r w:rsidR="0076166D">
        <w:rPr>
          <w:b/>
        </w:rPr>
        <w:t>,</w:t>
      </w:r>
      <w:r w:rsidR="00773135" w:rsidRPr="00C64510">
        <w:t xml:space="preserve"> раст БДП Србије у 202</w:t>
      </w:r>
      <w:r w:rsidR="00BA253F">
        <w:t>2</w:t>
      </w:r>
      <w:r w:rsidR="00773135" w:rsidRPr="00773135">
        <w:t>. години пројектује</w:t>
      </w:r>
      <w:r w:rsidR="0069753E">
        <w:t xml:space="preserve"> се</w:t>
      </w:r>
      <w:r w:rsidR="00773135" w:rsidRPr="00773135">
        <w:t xml:space="preserve"> на </w:t>
      </w:r>
      <w:r w:rsidR="0076166D">
        <w:t>4</w:t>
      </w:r>
      <w:r w:rsidR="00773135" w:rsidRPr="00773135">
        <w:t>%</w:t>
      </w:r>
      <w:r w:rsidR="00387B30">
        <w:t>.</w:t>
      </w:r>
      <w:r w:rsidR="00773135" w:rsidRPr="00773135">
        <w:t xml:space="preserve"> </w:t>
      </w:r>
    </w:p>
    <w:p w:rsidR="00CC2275" w:rsidRPr="00D81BBC" w:rsidRDefault="00CC2275" w:rsidP="00A86848">
      <w:pPr>
        <w:autoSpaceDE w:val="0"/>
        <w:autoSpaceDN w:val="0"/>
        <w:adjustRightInd w:val="0"/>
        <w:ind w:firstLine="720"/>
        <w:jc w:val="both"/>
      </w:pPr>
    </w:p>
    <w:p w:rsidR="00205DCE" w:rsidRPr="00D81BBC" w:rsidRDefault="008C1078" w:rsidP="00FA1A59">
      <w:pPr>
        <w:spacing w:after="240"/>
        <w:jc w:val="center"/>
        <w:rPr>
          <w:b/>
        </w:rPr>
      </w:pPr>
      <w:r w:rsidRPr="00D81BBC">
        <w:rPr>
          <w:b/>
          <w:bCs/>
          <w:i/>
          <w:iCs/>
        </w:rPr>
        <w:t xml:space="preserve">Основне макроекономске претпоставке за </w:t>
      </w:r>
      <w:r w:rsidR="007A24E7">
        <w:rPr>
          <w:b/>
          <w:bCs/>
          <w:i/>
          <w:iCs/>
        </w:rPr>
        <w:t>202</w:t>
      </w:r>
      <w:r w:rsidR="004F0DFC">
        <w:rPr>
          <w:b/>
          <w:bCs/>
          <w:i/>
          <w:iCs/>
        </w:rPr>
        <w:t>2</w:t>
      </w:r>
      <w:r w:rsidRPr="00D81BBC">
        <w:rPr>
          <w:b/>
          <w:bCs/>
          <w:i/>
          <w:iCs/>
        </w:rPr>
        <w:t>. године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710"/>
        <w:gridCol w:w="1800"/>
      </w:tblGrid>
      <w:tr w:rsidR="007117B9" w:rsidRPr="00D81BBC" w:rsidTr="00FA1A59">
        <w:trPr>
          <w:trHeight w:val="530"/>
        </w:trPr>
        <w:tc>
          <w:tcPr>
            <w:tcW w:w="5580" w:type="dxa"/>
            <w:shd w:val="clear" w:color="auto" w:fill="auto"/>
            <w:vAlign w:val="center"/>
          </w:tcPr>
          <w:p w:rsidR="007117B9" w:rsidRPr="00D81BBC" w:rsidRDefault="007117B9" w:rsidP="00FA1A5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117B9" w:rsidRPr="007117B9" w:rsidRDefault="007117B9" w:rsidP="00FA1A59">
            <w:pPr>
              <w:jc w:val="center"/>
            </w:pPr>
            <w:r w:rsidRPr="00D81BBC">
              <w:rPr>
                <w:lang w:val="sr-Cyrl-CS"/>
              </w:rPr>
              <w:t>Про</w:t>
            </w:r>
            <w:r w:rsidR="009E19E9">
              <w:rPr>
                <w:lang w:val="sr-Cyrl-CS"/>
              </w:rPr>
              <w:t>цена</w:t>
            </w:r>
          </w:p>
          <w:p w:rsidR="007117B9" w:rsidRPr="00D81BBC" w:rsidRDefault="007117B9" w:rsidP="00FA1A59">
            <w:pPr>
              <w:jc w:val="center"/>
              <w:rPr>
                <w:lang w:val="sr-Cyrl-CS"/>
              </w:rPr>
            </w:pPr>
            <w:r w:rsidRPr="00D81BBC">
              <w:rPr>
                <w:lang w:val="sr-Cyrl-CS"/>
              </w:rPr>
              <w:t>202</w:t>
            </w:r>
            <w:r w:rsidR="004F0DFC">
              <w:rPr>
                <w:lang w:val="sr-Cyrl-CS"/>
              </w:rPr>
              <w:t>1</w:t>
            </w:r>
            <w:r w:rsidRPr="00D81BBC">
              <w:rPr>
                <w:lang w:val="sr-Cyrl-CS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17B9" w:rsidRPr="00D81BBC" w:rsidRDefault="007117B9" w:rsidP="00FA1A5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Пројекција</w:t>
            </w:r>
          </w:p>
          <w:p w:rsidR="007117B9" w:rsidRPr="00D81BBC" w:rsidRDefault="007117B9" w:rsidP="00FA1A59">
            <w:pPr>
              <w:jc w:val="center"/>
              <w:rPr>
                <w:lang w:val="sr-Cyrl-CS"/>
              </w:rPr>
            </w:pPr>
            <w:r w:rsidRPr="00D81BBC">
              <w:rPr>
                <w:lang w:val="sr-Cyrl-CS"/>
              </w:rPr>
              <w:t>202</w:t>
            </w:r>
            <w:r w:rsidR="004F0DFC">
              <w:rPr>
                <w:lang w:val="sr-Cyrl-CS"/>
              </w:rPr>
              <w:t>2</w:t>
            </w:r>
            <w:r w:rsidRPr="00D81BBC">
              <w:rPr>
                <w:lang w:val="sr-Cyrl-CS"/>
              </w:rPr>
              <w:t>.</w:t>
            </w:r>
          </w:p>
        </w:tc>
      </w:tr>
      <w:tr w:rsidR="00A67FE3" w:rsidRPr="00D81BBC" w:rsidTr="00FA1A59">
        <w:tc>
          <w:tcPr>
            <w:tcW w:w="5580" w:type="dxa"/>
            <w:shd w:val="clear" w:color="auto" w:fill="auto"/>
          </w:tcPr>
          <w:p w:rsidR="00A67FE3" w:rsidRDefault="00A67FE3" w:rsidP="00FA1A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Стопа номиналног раста БДП, % </w:t>
            </w:r>
          </w:p>
        </w:tc>
        <w:tc>
          <w:tcPr>
            <w:tcW w:w="1710" w:type="dxa"/>
            <w:shd w:val="clear" w:color="auto" w:fill="auto"/>
          </w:tcPr>
          <w:p w:rsidR="00A67FE3" w:rsidRPr="00EE6A12" w:rsidRDefault="00A67FE3" w:rsidP="00FA1A5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E6A12">
              <w:rPr>
                <w:b/>
                <w:sz w:val="22"/>
                <w:szCs w:val="22"/>
              </w:rPr>
              <w:t>8,7</w:t>
            </w:r>
          </w:p>
        </w:tc>
        <w:tc>
          <w:tcPr>
            <w:tcW w:w="1800" w:type="dxa"/>
            <w:shd w:val="clear" w:color="auto" w:fill="auto"/>
          </w:tcPr>
          <w:p w:rsidR="00A67FE3" w:rsidRPr="00EE6A12" w:rsidRDefault="00A67FE3" w:rsidP="00FA1A5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E6A12">
              <w:rPr>
                <w:b/>
                <w:sz w:val="22"/>
                <w:szCs w:val="22"/>
              </w:rPr>
              <w:t>6,8</w:t>
            </w:r>
          </w:p>
        </w:tc>
      </w:tr>
      <w:tr w:rsidR="00A67FE3" w:rsidRPr="00D81BBC" w:rsidTr="00FA1A59">
        <w:tc>
          <w:tcPr>
            <w:tcW w:w="5580" w:type="dxa"/>
            <w:shd w:val="clear" w:color="auto" w:fill="auto"/>
          </w:tcPr>
          <w:p w:rsidR="00A67FE3" w:rsidRDefault="00A67FE3" w:rsidP="00FA1A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Стопе реалног раста БДП,% </w:t>
            </w:r>
          </w:p>
        </w:tc>
        <w:tc>
          <w:tcPr>
            <w:tcW w:w="1710" w:type="dxa"/>
            <w:shd w:val="clear" w:color="auto" w:fill="auto"/>
          </w:tcPr>
          <w:p w:rsidR="00A67FE3" w:rsidRPr="00EE6A12" w:rsidRDefault="00A67FE3" w:rsidP="00FA1A5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E6A12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800" w:type="dxa"/>
            <w:shd w:val="clear" w:color="auto" w:fill="auto"/>
          </w:tcPr>
          <w:p w:rsidR="00A67FE3" w:rsidRPr="00EE6A12" w:rsidRDefault="00A67FE3" w:rsidP="00FA1A5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E6A12">
              <w:rPr>
                <w:b/>
                <w:sz w:val="22"/>
                <w:szCs w:val="22"/>
              </w:rPr>
              <w:t>4,0</w:t>
            </w:r>
          </w:p>
        </w:tc>
      </w:tr>
      <w:tr w:rsidR="00A67FE3" w:rsidRPr="00D81BBC" w:rsidTr="00FA1A59">
        <w:tc>
          <w:tcPr>
            <w:tcW w:w="5580" w:type="dxa"/>
            <w:shd w:val="clear" w:color="auto" w:fill="auto"/>
          </w:tcPr>
          <w:p w:rsidR="00A67FE3" w:rsidRDefault="00A67FE3" w:rsidP="00FA1A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Инфлација, просек периода,% </w:t>
            </w:r>
          </w:p>
        </w:tc>
        <w:tc>
          <w:tcPr>
            <w:tcW w:w="1710" w:type="dxa"/>
            <w:shd w:val="clear" w:color="auto" w:fill="auto"/>
          </w:tcPr>
          <w:p w:rsidR="00A67FE3" w:rsidRPr="00EE6A12" w:rsidRDefault="00A67FE3" w:rsidP="00FA1A5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E6A12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1800" w:type="dxa"/>
            <w:shd w:val="clear" w:color="auto" w:fill="auto"/>
          </w:tcPr>
          <w:p w:rsidR="00A67FE3" w:rsidRPr="00EE6A12" w:rsidRDefault="00A67FE3" w:rsidP="00FA1A5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E6A12">
              <w:rPr>
                <w:b/>
                <w:sz w:val="22"/>
                <w:szCs w:val="22"/>
              </w:rPr>
              <w:t>2,5</w:t>
            </w:r>
          </w:p>
        </w:tc>
      </w:tr>
    </w:tbl>
    <w:p w:rsidR="004F0DFC" w:rsidRDefault="004F0DFC" w:rsidP="00FA1A5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F0DFC" w:rsidRDefault="004F0DFC" w:rsidP="00FA1A5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32260" w:rsidRPr="00D938C7" w:rsidRDefault="004F0DFC" w:rsidP="00FA1A59">
      <w:pPr>
        <w:autoSpaceDE w:val="0"/>
        <w:autoSpaceDN w:val="0"/>
        <w:adjustRightInd w:val="0"/>
        <w:ind w:firstLine="720"/>
        <w:jc w:val="both"/>
      </w:pPr>
      <w:r w:rsidRPr="00D938C7">
        <w:t>Расположив</w:t>
      </w:r>
      <w:r w:rsidR="009F6C36">
        <w:t>и</w:t>
      </w:r>
      <w:r w:rsidRPr="00D938C7">
        <w:t xml:space="preserve"> фискални простор у 2022. години биће опредељен за наставак улагања у капиталне инвестиције и здравствени систем, умерено повећање пензија и плата у јавном сектору као и наставак пореског растерећења привреде. Ове мере и њихове фискалне импликације дизајниране су тако да не угрозе стабилност јавних финансија и темпо смањења јавног дуга, затим да одрже животни стандард становништва и помогну привредни развој, али и да осигурају флексибилност реакције на евентуалне нове ударе кризе.</w:t>
      </w:r>
    </w:p>
    <w:p w:rsidR="00B937B7" w:rsidRDefault="00B937B7" w:rsidP="00B937B7">
      <w:pPr>
        <w:pStyle w:val="Default"/>
        <w:ind w:firstLine="720"/>
        <w:rPr>
          <w:b/>
          <w:bCs/>
          <w:sz w:val="23"/>
          <w:szCs w:val="23"/>
        </w:rPr>
      </w:pPr>
    </w:p>
    <w:p w:rsidR="00551529" w:rsidRDefault="00B937B7" w:rsidP="00963106">
      <w:pPr>
        <w:pStyle w:val="Default"/>
        <w:ind w:firstLine="720"/>
        <w:jc w:val="both"/>
        <w:rPr>
          <w:color w:val="auto"/>
        </w:rPr>
      </w:pPr>
      <w:r w:rsidRPr="00FA1A59">
        <w:rPr>
          <w:b/>
          <w:bCs/>
        </w:rPr>
        <w:lastRenderedPageBreak/>
        <w:t xml:space="preserve">Приликом планирања прихода локална власт је у обавези да исте реално планира, </w:t>
      </w:r>
      <w:r w:rsidRPr="00FA1A59">
        <w:t>тј. потребно је поћи од остварења прихода за три квартала у 2021. години и њихове процене за задњи квартал те године, што представља основ за њихово увећање, при чему укупан раст прихода не сме да буде већи од номиналног р</w:t>
      </w:r>
      <w:r w:rsidR="00757D83" w:rsidRPr="00FA1A59">
        <w:t>аста БДП (пројектован номинални</w:t>
      </w:r>
      <w:r w:rsidRPr="00FA1A59">
        <w:t xml:space="preserve"> </w:t>
      </w:r>
      <w:r w:rsidRPr="00FA1A59">
        <w:rPr>
          <w:color w:val="auto"/>
        </w:rPr>
        <w:t xml:space="preserve">раст у 2022. години од </w:t>
      </w:r>
      <w:r w:rsidRPr="00FA1A59">
        <w:rPr>
          <w:b/>
          <w:color w:val="auto"/>
        </w:rPr>
        <w:t>6,8%).</w:t>
      </w:r>
      <w:r w:rsidRPr="00FA1A59">
        <w:rPr>
          <w:color w:val="auto"/>
        </w:rPr>
        <w:t xml:space="preserve"> Изузетно, локална власт може планирати већи обим прихода, с тим што је у том случају </w:t>
      </w:r>
      <w:r w:rsidRPr="00FA1A59">
        <w:rPr>
          <w:b/>
          <w:bCs/>
          <w:color w:val="auto"/>
        </w:rPr>
        <w:t xml:space="preserve">дужна да у образложењу одлуке о буџету наведе разлоге за такво поступање, </w:t>
      </w:r>
      <w:r w:rsidRPr="00FA1A59">
        <w:rPr>
          <w:color w:val="auto"/>
        </w:rPr>
        <w:t>као и да образложи параметре (кретање запослености, просечне зараде, очекиване инвестиционе активности, промене у степену наплате пореза на имовину итд.) коришћене за пројекцију таквих прихода</w:t>
      </w:r>
      <w:r w:rsidRPr="00B937B7">
        <w:rPr>
          <w:color w:val="auto"/>
        </w:rPr>
        <w:t>.</w:t>
      </w:r>
    </w:p>
    <w:p w:rsidR="00551529" w:rsidRPr="00551529" w:rsidRDefault="00551529" w:rsidP="00FA1A59">
      <w:pPr>
        <w:pStyle w:val="Default"/>
        <w:ind w:firstLine="720"/>
        <w:jc w:val="both"/>
      </w:pPr>
    </w:p>
    <w:p w:rsidR="00963106" w:rsidRDefault="00963106" w:rsidP="00FA1A59">
      <w:pPr>
        <w:pStyle w:val="Default"/>
        <w:ind w:firstLine="720"/>
        <w:jc w:val="both"/>
      </w:pPr>
      <w:r w:rsidRPr="00963106">
        <w:t xml:space="preserve">Уколико локална власт очекује приходе по основу донација, апропријације прихода и расхода (извор финансирања 05 и 06) може планирати у складу са очекиваним износом ових средстава. Апропријације прихода и примања, расхода и издатака из изворa финансирања 07 - Трансфери од других нивоа власти, 08 - Добровољни трансфери од физичких и правних лица и 09 - Примања од продаје нефинансијске имовине могу се планирати у складу са реално очекиваним приливом средстава по тим основама. </w:t>
      </w:r>
    </w:p>
    <w:p w:rsidR="00515081" w:rsidRPr="00515081" w:rsidRDefault="00515081" w:rsidP="00FA1A59">
      <w:pPr>
        <w:pStyle w:val="Default"/>
        <w:ind w:firstLine="720"/>
        <w:jc w:val="both"/>
      </w:pPr>
    </w:p>
    <w:p w:rsidR="00963106" w:rsidRDefault="00963106" w:rsidP="00FA1A59">
      <w:pPr>
        <w:pStyle w:val="Default"/>
        <w:ind w:firstLine="720"/>
        <w:jc w:val="both"/>
      </w:pPr>
      <w:r w:rsidRPr="00963106">
        <w:t xml:space="preserve">Ненаменске трансфере јединице локалне самоуправе треба да планирају у истом износу који је био опредељен Законом о буџету Републике Србије за 2021. годину („Службени гласник РС”, број 149/20 и 40/21). </w:t>
      </w:r>
    </w:p>
    <w:p w:rsidR="00515081" w:rsidRPr="00515081" w:rsidRDefault="00515081" w:rsidP="00FA1A59">
      <w:pPr>
        <w:pStyle w:val="Default"/>
        <w:ind w:firstLine="720"/>
        <w:jc w:val="both"/>
      </w:pPr>
    </w:p>
    <w:p w:rsidR="00EC7725" w:rsidRDefault="00963106" w:rsidP="00FA1A59">
      <w:pPr>
        <w:autoSpaceDE w:val="0"/>
        <w:autoSpaceDN w:val="0"/>
        <w:adjustRightInd w:val="0"/>
        <w:ind w:firstLine="720"/>
        <w:jc w:val="both"/>
      </w:pPr>
      <w:r w:rsidRPr="00963106">
        <w:t xml:space="preserve">У складу са чланом 5. Закона о буџетском систему приходи и примања исказују се у укупно оствареним износима, а расходи и издаци у укупно извршеним износима. Правилником о условима и начину вођења рачуна за уплату јавних прихода и распоред средстава са тих рачуна прописани су рачуни за уплату јавних прихода, тако да сви јавни приходи и примања којима се финансирају надлежности локалне власти </w:t>
      </w:r>
      <w:r w:rsidRPr="00963106">
        <w:rPr>
          <w:b/>
          <w:bCs/>
        </w:rPr>
        <w:t>треба да буду уплаћени на рачуне прописане за уплату јавних прихода</w:t>
      </w:r>
      <w:r w:rsidRPr="00963106">
        <w:t xml:space="preserve">, чиме би се испоштовало уставно начело бруто принципа (члан 92. Устава Републике Србије), а не на подрачуне корисника </w:t>
      </w:r>
      <w:r w:rsidRPr="00EF0DDC">
        <w:t>буџетских средстава</w:t>
      </w:r>
      <w:r>
        <w:t>.</w:t>
      </w:r>
    </w:p>
    <w:p w:rsidR="00963106" w:rsidRPr="00963106" w:rsidRDefault="00963106" w:rsidP="00FA1A59">
      <w:pPr>
        <w:autoSpaceDE w:val="0"/>
        <w:autoSpaceDN w:val="0"/>
        <w:adjustRightInd w:val="0"/>
        <w:ind w:firstLine="720"/>
        <w:jc w:val="both"/>
      </w:pPr>
    </w:p>
    <w:p w:rsidR="00416C6E" w:rsidRPr="00416C6E" w:rsidRDefault="00416C6E" w:rsidP="009A00D1">
      <w:pPr>
        <w:pStyle w:val="Default"/>
        <w:ind w:firstLine="720"/>
        <w:rPr>
          <w:b/>
          <w:bCs/>
        </w:rPr>
      </w:pPr>
      <w:r w:rsidRPr="00416C6E">
        <w:rPr>
          <w:b/>
          <w:bCs/>
        </w:rPr>
        <w:t>Доношење одлуке о локалним комуналним таксама за 202</w:t>
      </w:r>
      <w:r w:rsidR="00485C22">
        <w:rPr>
          <w:b/>
          <w:bCs/>
        </w:rPr>
        <w:t>2</w:t>
      </w:r>
      <w:r w:rsidRPr="00416C6E">
        <w:rPr>
          <w:b/>
          <w:bCs/>
        </w:rPr>
        <w:t xml:space="preserve">. годину </w:t>
      </w:r>
    </w:p>
    <w:p w:rsidR="00485C22" w:rsidRDefault="00485C22" w:rsidP="00485C22">
      <w:pPr>
        <w:pStyle w:val="Default"/>
        <w:ind w:firstLine="720"/>
        <w:rPr>
          <w:sz w:val="23"/>
          <w:szCs w:val="23"/>
        </w:rPr>
      </w:pPr>
    </w:p>
    <w:p w:rsidR="00485C22" w:rsidRPr="00485C22" w:rsidRDefault="00485C22" w:rsidP="00FA1A59">
      <w:pPr>
        <w:pStyle w:val="Default"/>
        <w:ind w:firstLine="720"/>
        <w:jc w:val="both"/>
      </w:pPr>
      <w:r w:rsidRPr="00485C22">
        <w:t xml:space="preserve">Одредбом члана 15в Закона о финансирању локалне самоуправе („Службени гласник РС”, бр. 62/06, 47/11, 93/12, 99/13, 125/14, 95/15, 83/16, 91/16, 104/16, 96/17, 89/18, 95/18 и 86/19 - у даљем тексту: Закон) прописано је да се највиши износи локалне комуналне таксе за држање моторних друмских и прикључних возила, осим пољопривредних возила и машина усклађују годишње, са годишњим индексом потрошачких цена који објављује републички орган надлежан за послове статистике. </w:t>
      </w:r>
    </w:p>
    <w:p w:rsidR="00485C22" w:rsidRDefault="00485C22" w:rsidP="00FA1A59">
      <w:pPr>
        <w:pStyle w:val="Default"/>
        <w:ind w:firstLine="720"/>
        <w:jc w:val="both"/>
      </w:pPr>
    </w:p>
    <w:p w:rsidR="00485C22" w:rsidRDefault="00485C22" w:rsidP="00FA1A59">
      <w:pPr>
        <w:pStyle w:val="Default"/>
        <w:ind w:firstLine="720"/>
        <w:jc w:val="both"/>
      </w:pPr>
      <w:r w:rsidRPr="00485C22">
        <w:t xml:space="preserve">Највишe износe локалне комуналне таксе, усклађенe са годишњим индексом потрошачких цена утврђује Влада, сагласно члану 15в став 4. Закона, а исти се објављују у „Службеном гласнику Републике Србије”. </w:t>
      </w:r>
    </w:p>
    <w:p w:rsidR="00485C22" w:rsidRPr="00485C22" w:rsidRDefault="00485C22" w:rsidP="00FA1A59">
      <w:pPr>
        <w:pStyle w:val="Default"/>
        <w:ind w:firstLine="720"/>
        <w:jc w:val="both"/>
      </w:pPr>
    </w:p>
    <w:p w:rsidR="00485C22" w:rsidRPr="00485C22" w:rsidRDefault="00485C22" w:rsidP="00FA1A59">
      <w:pPr>
        <w:pStyle w:val="Default"/>
        <w:ind w:firstLine="720"/>
        <w:jc w:val="both"/>
      </w:pPr>
      <w:r w:rsidRPr="00485C22">
        <w:t xml:space="preserve">Такође, локална комунална такса за држање моторних друмских и прикључних возила, осим пољопривредних возила и машина, мора бити усклађена са чланом 7. Закона о безбедности саобраћаја на путевима („Службени гласник РС”, бр. 41/09...41/18, 87/18 и 23/19), односно са Правилником о подели моторних и прикључних возила и техничким условима за возила у саобраћају на путевима („Службени гласник РС”, бр. 40/12...70/18, 95/18, 104/18,93/19, 2/20 и 64/21), донетим </w:t>
      </w:r>
      <w:r w:rsidRPr="00485C22">
        <w:lastRenderedPageBreak/>
        <w:t xml:space="preserve">на основу члана 7. став 2. Закона о безбедности саобраћаја на путевима, тако да је потребно ускладити врсте возила са наведеним законом и правилником, а висину комуналне таксе за та возила утврдити у оквиру усклађених највиших износа ове локалне комуналне таксе, како би полицијске управе без проблема вршиле наплату овог локалног јавног прихода. </w:t>
      </w:r>
    </w:p>
    <w:p w:rsidR="00416C6E" w:rsidRDefault="00485C22" w:rsidP="00FA1A59">
      <w:pPr>
        <w:pStyle w:val="Default"/>
        <w:ind w:firstLine="720"/>
        <w:jc w:val="both"/>
      </w:pPr>
      <w:r w:rsidRPr="00524B52">
        <w:t xml:space="preserve">Имајући у виду да према члану 32. Закона о локалној самоуправи („Службени гласник РС”, број 129/07, 83/14 - др.закон, 101/16 - др.закон и 47/18) </w:t>
      </w:r>
      <w:r w:rsidR="00A434DB">
        <w:t>С</w:t>
      </w:r>
      <w:r w:rsidRPr="00524B52">
        <w:t>купштина јединице локалне самоуправе, у складу са законом, између осталог, утврђује стопе изворних прихода, као и начин и мерила за одређивање висине локалних такси и накнада, јединице локалне самоуправе су у обавези да, приликом одређивања висине локалних комуналних такси, имају у виду члан 91. Устава Републике Србије, према коме се обавеза плаћања пореза и других</w:t>
      </w:r>
      <w:r w:rsidR="00A434DB" w:rsidRPr="00A434DB">
        <w:rPr>
          <w:sz w:val="23"/>
          <w:szCs w:val="23"/>
        </w:rPr>
        <w:t xml:space="preserve"> </w:t>
      </w:r>
      <w:r w:rsidR="00A434DB" w:rsidRPr="00A434DB">
        <w:t>дажбина заснива на економској моћи обвезника. У складу са тим, јединице локалне самоуправе су у обавези да определе висину локалних комуналних такси која неће угрозити нормално функционисање обвезника.</w:t>
      </w:r>
    </w:p>
    <w:p w:rsidR="00E74FA8" w:rsidRPr="00722855" w:rsidRDefault="00E74FA8" w:rsidP="00FA1A59">
      <w:pPr>
        <w:pStyle w:val="Default"/>
      </w:pPr>
    </w:p>
    <w:p w:rsidR="009233CC" w:rsidRDefault="009233CC" w:rsidP="00FA1A59">
      <w:pPr>
        <w:pStyle w:val="Default"/>
      </w:pPr>
    </w:p>
    <w:p w:rsidR="009233CC" w:rsidRPr="009233CC" w:rsidRDefault="009233CC" w:rsidP="00FA1A59">
      <w:pPr>
        <w:pStyle w:val="Default"/>
        <w:ind w:left="720"/>
        <w:jc w:val="center"/>
        <w:rPr>
          <w:b/>
        </w:rPr>
      </w:pPr>
      <w:r w:rsidRPr="009233CC">
        <w:rPr>
          <w:b/>
          <w:bCs/>
        </w:rPr>
        <w:t>Обим средстава, односно лимит расхода и издатака буџетских корисника за 202</w:t>
      </w:r>
      <w:r w:rsidR="00722855">
        <w:rPr>
          <w:b/>
          <w:bCs/>
        </w:rPr>
        <w:t>2</w:t>
      </w:r>
      <w:r w:rsidRPr="009233CC">
        <w:rPr>
          <w:b/>
          <w:bCs/>
        </w:rPr>
        <w:t>. годину, са пројекцијама за наредне две фискалне године</w:t>
      </w:r>
    </w:p>
    <w:p w:rsidR="003510C4" w:rsidRPr="00D36BF2" w:rsidRDefault="003510C4" w:rsidP="00FA1A59">
      <w:pPr>
        <w:autoSpaceDE w:val="0"/>
        <w:autoSpaceDN w:val="0"/>
        <w:adjustRightInd w:val="0"/>
        <w:jc w:val="center"/>
      </w:pPr>
    </w:p>
    <w:p w:rsidR="000212F7" w:rsidRPr="003771EB" w:rsidRDefault="000212F7" w:rsidP="00FA1A59">
      <w:pPr>
        <w:pStyle w:val="Default"/>
        <w:spacing w:after="120"/>
        <w:ind w:firstLine="720"/>
        <w:jc w:val="both"/>
      </w:pPr>
      <w:r w:rsidRPr="003771EB">
        <w:t>Републичким упутством утврђују се смернице за планирање појединих категорија расхода и издатака, као и ограничења расхода и издатака корисника буџетских средстава.</w:t>
      </w:r>
    </w:p>
    <w:p w:rsidR="003510C4" w:rsidRDefault="000212F7" w:rsidP="00FA1A59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3771EB">
        <w:t xml:space="preserve">Приликом планирања обима средстава, односно лимита расхода и издатака за сваког буџетског корисника, локални орган управе надлежан за финансије </w:t>
      </w:r>
      <w:r w:rsidRPr="003771EB">
        <w:rPr>
          <w:b/>
          <w:bCs/>
        </w:rPr>
        <w:t>мора реално да их планира, у складу са законом, односно да пође од њиховог извршења у овој години, као и планираних политика у наредном периоду.</w:t>
      </w:r>
    </w:p>
    <w:p w:rsidR="009A00D1" w:rsidRPr="009A00D1" w:rsidRDefault="009A00D1" w:rsidP="00FA1A59">
      <w:pPr>
        <w:autoSpaceDE w:val="0"/>
        <w:autoSpaceDN w:val="0"/>
        <w:adjustRightInd w:val="0"/>
        <w:ind w:firstLine="720"/>
        <w:jc w:val="both"/>
      </w:pPr>
    </w:p>
    <w:p w:rsidR="003510C4" w:rsidRPr="003771EB" w:rsidRDefault="003510C4" w:rsidP="00FA1A59">
      <w:pPr>
        <w:autoSpaceDE w:val="0"/>
        <w:autoSpaceDN w:val="0"/>
        <w:adjustRightInd w:val="0"/>
        <w:ind w:firstLine="720"/>
        <w:jc w:val="both"/>
      </w:pPr>
    </w:p>
    <w:p w:rsidR="00BB448A" w:rsidRPr="009A00D1" w:rsidRDefault="00BB448A" w:rsidP="00FA1A59">
      <w:pPr>
        <w:autoSpaceDE w:val="0"/>
        <w:autoSpaceDN w:val="0"/>
        <w:adjustRightInd w:val="0"/>
        <w:ind w:left="720"/>
        <w:jc w:val="center"/>
        <w:rPr>
          <w:b/>
          <w:bCs/>
          <w:i/>
          <w:iCs/>
        </w:rPr>
      </w:pPr>
      <w:r w:rsidRPr="009A00D1">
        <w:rPr>
          <w:b/>
          <w:bCs/>
          <w:i/>
          <w:iCs/>
        </w:rPr>
        <w:t>Планирање масе сред</w:t>
      </w:r>
      <w:r w:rsidR="00C83BE7" w:rsidRPr="009A00D1">
        <w:rPr>
          <w:b/>
          <w:bCs/>
          <w:i/>
          <w:iCs/>
        </w:rPr>
        <w:t>става за плате запослених у 202</w:t>
      </w:r>
      <w:r w:rsidR="000502D9">
        <w:rPr>
          <w:b/>
          <w:bCs/>
          <w:i/>
          <w:iCs/>
        </w:rPr>
        <w:t>2</w:t>
      </w:r>
      <w:r w:rsidRPr="009A00D1">
        <w:rPr>
          <w:b/>
          <w:bCs/>
          <w:i/>
          <w:iCs/>
        </w:rPr>
        <w:t xml:space="preserve">. години </w:t>
      </w:r>
      <w:r w:rsidR="002C39F4" w:rsidRPr="009A00D1">
        <w:rPr>
          <w:b/>
          <w:bCs/>
          <w:i/>
          <w:iCs/>
        </w:rPr>
        <w:t>према Републичком упутству</w:t>
      </w:r>
    </w:p>
    <w:p w:rsidR="00117FD7" w:rsidRDefault="00117FD7" w:rsidP="00FA1A59">
      <w:pPr>
        <w:pStyle w:val="Default"/>
      </w:pPr>
    </w:p>
    <w:p w:rsidR="00117FD7" w:rsidRPr="00FA1A59" w:rsidRDefault="00117FD7" w:rsidP="00FA1A59">
      <w:pPr>
        <w:pStyle w:val="Default"/>
        <w:numPr>
          <w:ilvl w:val="0"/>
          <w:numId w:val="23"/>
        </w:numPr>
        <w:rPr>
          <w:b/>
          <w:bCs/>
          <w:i/>
          <w:iCs/>
          <w:color w:val="auto"/>
        </w:rPr>
      </w:pPr>
      <w:r w:rsidRPr="00FA1A59">
        <w:rPr>
          <w:b/>
          <w:bCs/>
          <w:i/>
          <w:iCs/>
          <w:color w:val="auto"/>
        </w:rPr>
        <w:t xml:space="preserve">Законско уређење плата </w:t>
      </w:r>
    </w:p>
    <w:p w:rsidR="00117FD7" w:rsidRPr="00FA1A59" w:rsidRDefault="00117FD7" w:rsidP="00FA1A59">
      <w:pPr>
        <w:pStyle w:val="Default"/>
        <w:ind w:left="720"/>
        <w:rPr>
          <w:color w:val="auto"/>
        </w:rPr>
      </w:pPr>
    </w:p>
    <w:p w:rsidR="00117FD7" w:rsidRPr="00FA1A59" w:rsidRDefault="00117FD7" w:rsidP="00FA1A59">
      <w:pPr>
        <w:pStyle w:val="Default"/>
        <w:ind w:firstLine="720"/>
        <w:jc w:val="both"/>
      </w:pPr>
      <w:r w:rsidRPr="00FA1A59">
        <w:t xml:space="preserve">Плате запослених у јавном сектору уређене су Законом о систему плата запослених у јавном сектору („Службени гласник РС”, број 18/16, 108/16, 113/17, 95/18, 86/19 и 157/20). </w:t>
      </w:r>
    </w:p>
    <w:p w:rsidR="00117FD7" w:rsidRPr="00117FD7" w:rsidRDefault="00117FD7" w:rsidP="00FA1A59">
      <w:pPr>
        <w:autoSpaceDE w:val="0"/>
        <w:autoSpaceDN w:val="0"/>
        <w:adjustRightInd w:val="0"/>
        <w:ind w:firstLine="720"/>
        <w:jc w:val="both"/>
      </w:pPr>
    </w:p>
    <w:p w:rsidR="003771EB" w:rsidRDefault="00117FD7" w:rsidP="00FA1A59">
      <w:pPr>
        <w:autoSpaceDE w:val="0"/>
        <w:autoSpaceDN w:val="0"/>
        <w:adjustRightInd w:val="0"/>
        <w:ind w:firstLine="720"/>
        <w:jc w:val="both"/>
      </w:pPr>
      <w:r w:rsidRPr="00117FD7">
        <w:t>Плате запослених код корисника буџета локалне власти уређене су и у складу са Законом о платама у државним органима и јавним службама („Службени гласник РС”, бр. 34/01, 62/06...113/17 - др.закон), Уредбом о коефицијентима за обрачун и исплату плата именованих и постављених лица и запослених у државним органима („Службени гласник РС”, бр. 44/08 - пречишћен текст, 2/12, 113/17-др.закон и 23/18, 95/18- др. закон, 86/19 – др.закон и 157/20).</w:t>
      </w:r>
    </w:p>
    <w:p w:rsidR="004F4061" w:rsidRPr="004F4061" w:rsidRDefault="004F4061" w:rsidP="00FA1A59">
      <w:pPr>
        <w:autoSpaceDE w:val="0"/>
        <w:autoSpaceDN w:val="0"/>
        <w:adjustRightInd w:val="0"/>
        <w:ind w:firstLine="720"/>
        <w:jc w:val="both"/>
      </w:pPr>
    </w:p>
    <w:p w:rsidR="004F4061" w:rsidRPr="004F4061" w:rsidRDefault="004F4061" w:rsidP="00FA1A59">
      <w:pPr>
        <w:pStyle w:val="Default"/>
        <w:numPr>
          <w:ilvl w:val="0"/>
          <w:numId w:val="23"/>
        </w:numPr>
        <w:rPr>
          <w:b/>
          <w:i/>
        </w:rPr>
      </w:pPr>
      <w:r w:rsidRPr="004F4061">
        <w:rPr>
          <w:b/>
          <w:i/>
        </w:rPr>
        <w:t xml:space="preserve">Законом уређена основица за обрачун плата </w:t>
      </w:r>
    </w:p>
    <w:p w:rsidR="004F4061" w:rsidRDefault="004F4061" w:rsidP="00FA1A59">
      <w:pPr>
        <w:pStyle w:val="Default"/>
        <w:rPr>
          <w:sz w:val="23"/>
          <w:szCs w:val="23"/>
        </w:rPr>
      </w:pPr>
    </w:p>
    <w:p w:rsidR="004F4061" w:rsidRDefault="004F4061" w:rsidP="00FA1A59">
      <w:pPr>
        <w:pStyle w:val="Default"/>
        <w:ind w:firstLine="450"/>
        <w:jc w:val="both"/>
      </w:pPr>
      <w:r w:rsidRPr="004F4061">
        <w:t xml:space="preserve">Приликом обрачуна и исплате плата запослених код корисника буџета локалне власти примењују се основице према закључцима Владе Републике Србије, до почетка примене одредаба Закона о систему плата запослених у јавном сектору. </w:t>
      </w:r>
    </w:p>
    <w:p w:rsidR="004F4061" w:rsidRPr="004F4061" w:rsidRDefault="004F4061" w:rsidP="00FA1A59">
      <w:pPr>
        <w:pStyle w:val="Default"/>
        <w:numPr>
          <w:ilvl w:val="0"/>
          <w:numId w:val="23"/>
        </w:numPr>
      </w:pPr>
      <w:r w:rsidRPr="004F4061">
        <w:rPr>
          <w:b/>
          <w:bCs/>
          <w:i/>
          <w:iCs/>
        </w:rPr>
        <w:lastRenderedPageBreak/>
        <w:t xml:space="preserve"> Планирање масе средстава за плате у одлукама о буџету за 2022. годину </w:t>
      </w:r>
    </w:p>
    <w:p w:rsidR="006970EE" w:rsidRPr="00A8033F" w:rsidRDefault="006970EE" w:rsidP="00FA1A59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2A5E" w:rsidRDefault="00142A5E" w:rsidP="00FA1A59">
      <w:pPr>
        <w:pStyle w:val="Default"/>
        <w:spacing w:after="120"/>
        <w:ind w:firstLine="720"/>
        <w:jc w:val="both"/>
      </w:pPr>
      <w:r>
        <w:t>Средства за плате задржана су на нивоу средстава планираних Законом о буџету Републике Србије за 2021. годину, а евентуална корекција износа планираних средстава за плате извршиће се у току буџетске процедуре на основу р</w:t>
      </w:r>
      <w:r w:rsidR="007C12CE">
        <w:t>евидиране Фискалне стратегије,</w:t>
      </w:r>
      <w:r>
        <w:t xml:space="preserve"> измена и допуна Закона о буџетском систему и процене потребних средстава за расходе за запослене за 2022. годину.</w:t>
      </w:r>
    </w:p>
    <w:p w:rsidR="00142A5E" w:rsidRDefault="00142A5E" w:rsidP="007C12CE">
      <w:pPr>
        <w:pStyle w:val="Default"/>
        <w:spacing w:after="120"/>
        <w:ind w:firstLine="720"/>
        <w:jc w:val="both"/>
      </w:pPr>
      <w:r>
        <w:t xml:space="preserve"> Средства за плате се планирају </w:t>
      </w:r>
      <w:r w:rsidRPr="00142A5E">
        <w:rPr>
          <w:b/>
        </w:rPr>
        <w:t>на бази броја запослених који раде, а не систематизованог броја запослених.</w:t>
      </w:r>
      <w:r>
        <w:t xml:space="preserve"> </w:t>
      </w:r>
    </w:p>
    <w:p w:rsidR="004B3D43" w:rsidRDefault="00142A5E" w:rsidP="007C12CE">
      <w:pPr>
        <w:pStyle w:val="Default"/>
        <w:spacing w:after="120"/>
        <w:ind w:firstLine="720"/>
        <w:jc w:val="both"/>
      </w:pPr>
      <w:r w:rsidRPr="00142A5E">
        <w:rPr>
          <w:b/>
        </w:rPr>
        <w:t>Уколико локална власт не планира у својим одлукама о буџету за 2022. годину и не извршава укупна средства за обрачун и исплату плата на начин како је наведено, министар надлежан за послове финансија може привремено обуставити пренос трансферних средстава из буџета Републике Србије</w:t>
      </w:r>
      <w:r>
        <w:t>, односно припадајућег дела пореза на зараде и пореза на добит правних лица, док се висина средстава за плате не усклади са наведеним ограничењем.</w:t>
      </w:r>
    </w:p>
    <w:p w:rsidR="00142A5E" w:rsidRDefault="00142A5E" w:rsidP="007C12CE">
      <w:pPr>
        <w:pStyle w:val="Default"/>
        <w:spacing w:after="120"/>
        <w:ind w:firstLine="720"/>
        <w:jc w:val="both"/>
      </w:pPr>
      <w:r>
        <w:t xml:space="preserve"> Министар надлежан за послове финансија ближе ће уредити начин и садржај извештавања о планираним и извршеним средствима за исплату плата и структуру расхода за запослене на економским класификацијама 413-416 у 2022. години. </w:t>
      </w:r>
    </w:p>
    <w:p w:rsidR="00C1279C" w:rsidRDefault="00C1279C" w:rsidP="007C12CE">
      <w:pPr>
        <w:autoSpaceDE w:val="0"/>
        <w:autoSpaceDN w:val="0"/>
        <w:adjustRightInd w:val="0"/>
        <w:spacing w:after="120"/>
        <w:ind w:firstLine="720"/>
        <w:jc w:val="both"/>
      </w:pPr>
      <w:r>
        <w:t xml:space="preserve">Као и у претходним годинама, и у буџетској 2022. години не треба планирати обрачун и исплату поклона у новцу, божићних, годишњих и других врста награда, бонуса и примања запослених ради побољшања материјалног положаја и побољшања услова рада предвиђених посебним и појединачним колективним уговорима, за директне и индиректне кориснике буџетских средстава локалне власти, као и друга примања из члана 120. став 1. тачка 4. Закона о раду („Службени гласник РС”, бр. 24/05, 61/05, 54/09, 32/13, 75/14, 13/17- УС, 113/17 и 95/18-аутентично тумачење) осим јубиларних награда за запослене који </w:t>
      </w:r>
      <w:r w:rsidR="003F3EF2">
        <w:t>то право стичу</w:t>
      </w:r>
      <w:r>
        <w:t xml:space="preserve"> у 2022. години и новчаних честитки за децу запослених. </w:t>
      </w:r>
    </w:p>
    <w:p w:rsidR="00355657" w:rsidRPr="00EE58D1" w:rsidRDefault="00355657" w:rsidP="007C12CE">
      <w:pPr>
        <w:autoSpaceDE w:val="0"/>
        <w:autoSpaceDN w:val="0"/>
        <w:adjustRightInd w:val="0"/>
        <w:spacing w:after="120"/>
        <w:ind w:firstLine="720"/>
        <w:jc w:val="both"/>
        <w:rPr>
          <w:rFonts w:eastAsiaTheme="minorHAnsi"/>
          <w:b/>
        </w:rPr>
      </w:pPr>
      <w:r w:rsidRPr="00355657">
        <w:rPr>
          <w:rFonts w:eastAsiaTheme="minorHAnsi"/>
        </w:rPr>
        <w:t>Локална власт је у обавези да у одлуци о буџету за 202</w:t>
      </w:r>
      <w:r w:rsidR="00C1279C">
        <w:rPr>
          <w:rFonts w:eastAsiaTheme="minorHAnsi"/>
        </w:rPr>
        <w:t>2</w:t>
      </w:r>
      <w:r w:rsidRPr="00355657">
        <w:rPr>
          <w:rFonts w:eastAsiaTheme="minorHAnsi"/>
        </w:rPr>
        <w:t xml:space="preserve">. годину, у делу буџета који садржи норме битне за извршење буџета, у посебној одредби </w:t>
      </w:r>
      <w:r w:rsidRPr="00EE58D1">
        <w:rPr>
          <w:rFonts w:eastAsiaTheme="minorHAnsi"/>
          <w:b/>
        </w:rPr>
        <w:t xml:space="preserve">искаже </w:t>
      </w:r>
      <w:r w:rsidRPr="00EE58D1">
        <w:rPr>
          <w:rFonts w:eastAsiaTheme="minorHAnsi"/>
          <w:b/>
          <w:bCs/>
        </w:rPr>
        <w:t xml:space="preserve">број запослених на неодређено и одређено време, за које су у буџету локалне власти обезбеђена средства. </w:t>
      </w:r>
    </w:p>
    <w:p w:rsidR="0026688E" w:rsidRPr="00C01B79" w:rsidRDefault="00355657" w:rsidP="007C12CE">
      <w:pPr>
        <w:pStyle w:val="Default"/>
        <w:spacing w:after="120"/>
        <w:ind w:firstLine="720"/>
        <w:jc w:val="both"/>
        <w:rPr>
          <w:bCs/>
          <w:color w:val="auto"/>
        </w:rPr>
      </w:pPr>
      <w:r w:rsidRPr="00355657">
        <w:rPr>
          <w:bCs/>
          <w:color w:val="auto"/>
        </w:rPr>
        <w:t>Уколико се изменама или допунама Одлуке о буџету локалне власти мењају подаци достављени у Прилогу 1, неопходно је доставити измењене (допуњене) табеле са образложењем и документацијом која потврђује да је било неопходно извршити одређене промене у односу на усвојену Одлуку о буџету.</w:t>
      </w:r>
    </w:p>
    <w:p w:rsidR="0026688E" w:rsidRPr="002F3F26" w:rsidRDefault="0026688E" w:rsidP="007C12CE">
      <w:pPr>
        <w:jc w:val="center"/>
        <w:rPr>
          <w:b/>
          <w:lang w:val="sr-Cyrl-CS"/>
        </w:rPr>
      </w:pPr>
    </w:p>
    <w:p w:rsidR="00FF2232" w:rsidRPr="002F3F26" w:rsidRDefault="00A25B78" w:rsidP="007C12CE">
      <w:pPr>
        <w:jc w:val="center"/>
        <w:rPr>
          <w:b/>
        </w:rPr>
      </w:pPr>
      <w:r w:rsidRPr="002F3F26">
        <w:rPr>
          <w:b/>
          <w:lang w:val="sr-Cyrl-CS"/>
        </w:rPr>
        <w:t>СМЕРНИЦЕ</w:t>
      </w:r>
      <w:r w:rsidR="000A2984" w:rsidRPr="000A2984">
        <w:rPr>
          <w:lang w:val="sr-Cyrl-CS"/>
        </w:rPr>
        <w:t xml:space="preserve"> </w:t>
      </w:r>
      <w:r w:rsidR="000A2984" w:rsidRPr="000A2984">
        <w:rPr>
          <w:b/>
          <w:lang w:val="sr-Cyrl-CS"/>
        </w:rPr>
        <w:t>БУЏЕТСКИМ КОРИСНИЦИМА ЗА</w:t>
      </w:r>
      <w:r w:rsidR="000A2984" w:rsidRPr="002F3F26">
        <w:rPr>
          <w:b/>
          <w:lang w:val="sr-Cyrl-CS"/>
        </w:rPr>
        <w:t xml:space="preserve"> </w:t>
      </w:r>
      <w:r w:rsidRPr="002F3F26">
        <w:rPr>
          <w:b/>
          <w:lang w:val="sr-Cyrl-CS"/>
        </w:rPr>
        <w:t>ПРИПРЕМУ БУЏЕТА</w:t>
      </w:r>
    </w:p>
    <w:p w:rsidR="00FF2232" w:rsidRPr="002F3F26" w:rsidRDefault="00A25B78" w:rsidP="007C12CE">
      <w:pPr>
        <w:jc w:val="center"/>
        <w:rPr>
          <w:b/>
        </w:rPr>
      </w:pPr>
      <w:r w:rsidRPr="002F3F26">
        <w:rPr>
          <w:b/>
          <w:lang w:val="sr-Cyrl-CS"/>
        </w:rPr>
        <w:t>ОПШТИНЕ ГОРЊИ М</w:t>
      </w:r>
      <w:r w:rsidR="00EC5138">
        <w:rPr>
          <w:b/>
          <w:lang w:val="sr-Cyrl-CS"/>
        </w:rPr>
        <w:t>ИЛАНОВАЦ</w:t>
      </w:r>
      <w:r w:rsidR="00C01B79">
        <w:rPr>
          <w:b/>
          <w:lang w:val="sr-Cyrl-CS"/>
        </w:rPr>
        <w:t xml:space="preserve"> ЗА 202</w:t>
      </w:r>
      <w:r w:rsidR="00BA1E95">
        <w:rPr>
          <w:b/>
          <w:lang w:val="sr-Cyrl-CS"/>
        </w:rPr>
        <w:t>2</w:t>
      </w:r>
      <w:r w:rsidRPr="002F3F26">
        <w:rPr>
          <w:b/>
          <w:lang w:val="sr-Cyrl-CS"/>
        </w:rPr>
        <w:t>. ГОДИНУ</w:t>
      </w:r>
    </w:p>
    <w:p w:rsidR="00F253F0" w:rsidRPr="002F3F26" w:rsidRDefault="00F253F0" w:rsidP="007C12CE">
      <w:pPr>
        <w:spacing w:after="120"/>
        <w:jc w:val="center"/>
        <w:rPr>
          <w:b/>
        </w:rPr>
      </w:pPr>
    </w:p>
    <w:p w:rsidR="00FF2232" w:rsidRPr="003051F7" w:rsidRDefault="00834ED1" w:rsidP="007C12CE">
      <w:pPr>
        <w:ind w:firstLine="720"/>
        <w:jc w:val="both"/>
      </w:pPr>
      <w:r>
        <w:rPr>
          <w:lang w:val="sr-Cyrl-CS"/>
        </w:rPr>
        <w:t>С</w:t>
      </w:r>
      <w:r w:rsidR="00FF2232" w:rsidRPr="002F3F26">
        <w:rPr>
          <w:lang w:val="sr-Cyrl-CS"/>
        </w:rPr>
        <w:t xml:space="preserve">агласно одредбама члана 40. Закона о буџетском </w:t>
      </w:r>
      <w:r w:rsidR="006D0F12" w:rsidRPr="002F3F26">
        <w:rPr>
          <w:lang w:val="sr-Cyrl-CS"/>
        </w:rPr>
        <w:t>систему</w:t>
      </w:r>
      <w:r w:rsidR="00FF2232" w:rsidRPr="002F3F26">
        <w:rPr>
          <w:lang w:val="sr-Cyrl-CS"/>
        </w:rPr>
        <w:t>, буџетски корисници општине Горњи Милановац су у обавези да се при изради предлога финансијског плана за 20</w:t>
      </w:r>
      <w:r w:rsidR="00A5511B">
        <w:rPr>
          <w:lang w:val="sr-Cyrl-CS"/>
        </w:rPr>
        <w:t>2</w:t>
      </w:r>
      <w:r w:rsidR="00B41D99">
        <w:rPr>
          <w:lang w:val="sr-Cyrl-CS"/>
        </w:rPr>
        <w:t>2</w:t>
      </w:r>
      <w:r w:rsidR="00B12F78">
        <w:rPr>
          <w:lang w:val="sr-Cyrl-CS"/>
        </w:rPr>
        <w:t>. годину придржавају</w:t>
      </w:r>
      <w:r w:rsidR="00FF2232" w:rsidRPr="002F3F26">
        <w:rPr>
          <w:lang w:val="sr-Cyrl-CS"/>
        </w:rPr>
        <w:t xml:space="preserve"> следећег:</w:t>
      </w:r>
    </w:p>
    <w:p w:rsidR="00FF2232" w:rsidRPr="002F3F26" w:rsidRDefault="00FF2232" w:rsidP="007C12CE">
      <w:pPr>
        <w:ind w:firstLine="720"/>
        <w:jc w:val="both"/>
        <w:rPr>
          <w:lang w:val="sr-Cyrl-CS"/>
        </w:rPr>
      </w:pPr>
    </w:p>
    <w:p w:rsidR="00FF2232" w:rsidRPr="002F3F26" w:rsidRDefault="00B12F78" w:rsidP="007C12CE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  <w:t>1.</w:t>
      </w:r>
      <w:r w:rsidR="00FF2232" w:rsidRPr="002F3F26">
        <w:rPr>
          <w:lang w:val="sr-Cyrl-CS"/>
        </w:rPr>
        <w:t xml:space="preserve"> Основ политике планирања прихода и расхода</w:t>
      </w:r>
      <w:r w:rsidR="00690BB7">
        <w:t xml:space="preserve"> за 20</w:t>
      </w:r>
      <w:r w:rsidR="00A5511B">
        <w:t>2</w:t>
      </w:r>
      <w:r w:rsidR="00B41D99">
        <w:t>2</w:t>
      </w:r>
      <w:r w:rsidR="00E85B61">
        <w:t>. годину</w:t>
      </w:r>
      <w:r w:rsidR="00E85B61" w:rsidRPr="002F3F26">
        <w:rPr>
          <w:lang w:val="sr-Cyrl-CS"/>
        </w:rPr>
        <w:t xml:space="preserve"> </w:t>
      </w:r>
      <w:r w:rsidR="00FF2232" w:rsidRPr="002F3F26">
        <w:rPr>
          <w:lang w:val="sr-Cyrl-CS"/>
        </w:rPr>
        <w:t xml:space="preserve">мора бити у складу са реалним пројекцијама буџета општине </w:t>
      </w:r>
      <w:r w:rsidR="005078F0" w:rsidRPr="002F3F26">
        <w:rPr>
          <w:lang w:val="sr-Cyrl-CS"/>
        </w:rPr>
        <w:t xml:space="preserve">за </w:t>
      </w:r>
      <w:r w:rsidR="00FF2232" w:rsidRPr="002F3F26">
        <w:rPr>
          <w:lang w:val="sr-Cyrl-CS"/>
        </w:rPr>
        <w:t>20</w:t>
      </w:r>
      <w:r w:rsidR="00A5511B">
        <w:rPr>
          <w:lang w:val="sr-Cyrl-CS"/>
        </w:rPr>
        <w:t>2</w:t>
      </w:r>
      <w:r w:rsidR="00B41D99">
        <w:rPr>
          <w:lang w:val="sr-Cyrl-CS"/>
        </w:rPr>
        <w:t>2</w:t>
      </w:r>
      <w:r w:rsidR="00FF2232" w:rsidRPr="002F3F26">
        <w:rPr>
          <w:lang w:val="sr-Cyrl-CS"/>
        </w:rPr>
        <w:t>. годину.</w:t>
      </w:r>
    </w:p>
    <w:p w:rsidR="00FF2232" w:rsidRPr="002F3F26" w:rsidRDefault="00FF2232" w:rsidP="007C12CE">
      <w:pPr>
        <w:spacing w:after="120"/>
        <w:jc w:val="both"/>
        <w:rPr>
          <w:lang w:val="sr-Cyrl-CS"/>
        </w:rPr>
      </w:pPr>
      <w:r w:rsidRPr="002F3F26">
        <w:rPr>
          <w:lang w:val="sr-Cyrl-CS"/>
        </w:rPr>
        <w:lastRenderedPageBreak/>
        <w:t xml:space="preserve"> </w:t>
      </w:r>
      <w:r w:rsidRPr="002F3F26">
        <w:rPr>
          <w:lang w:val="sr-Cyrl-CS"/>
        </w:rPr>
        <w:tab/>
        <w:t>2. При изради предлога финансијских планова за 20</w:t>
      </w:r>
      <w:r w:rsidR="00A5511B">
        <w:rPr>
          <w:lang w:val="sr-Cyrl-CS"/>
        </w:rPr>
        <w:t>2</w:t>
      </w:r>
      <w:r w:rsidR="000A5158">
        <w:rPr>
          <w:lang w:val="sr-Cyrl-CS"/>
        </w:rPr>
        <w:t>2</w:t>
      </w:r>
      <w:r w:rsidRPr="002F3F26">
        <w:rPr>
          <w:lang w:val="sr-Cyrl-CS"/>
        </w:rPr>
        <w:t>. годину, корисници буџета треба да планирају расходе и издатке до нивоа утврђених овим Упу</w:t>
      </w:r>
      <w:r w:rsidR="00A15A62">
        <w:rPr>
          <w:lang w:val="sr-Cyrl-CS"/>
        </w:rPr>
        <w:t xml:space="preserve">тством, водећи рачуна при томе </w:t>
      </w:r>
      <w:r w:rsidRPr="002F3F26">
        <w:rPr>
          <w:lang w:val="sr-Cyrl-CS"/>
        </w:rPr>
        <w:t xml:space="preserve">уговореним обавезама и </w:t>
      </w:r>
      <w:r w:rsidR="000B5DD2">
        <w:rPr>
          <w:lang w:val="sr-Cyrl-CS"/>
        </w:rPr>
        <w:t>донетим</w:t>
      </w:r>
      <w:r w:rsidR="00A15A62" w:rsidRPr="002F3F26">
        <w:rPr>
          <w:lang w:val="sr-Cyrl-CS"/>
        </w:rPr>
        <w:t xml:space="preserve"> одлукама</w:t>
      </w:r>
      <w:r w:rsidRPr="002F3F26">
        <w:rPr>
          <w:lang w:val="sr-Cyrl-CS"/>
        </w:rPr>
        <w:t xml:space="preserve"> од стране Скупштине општине, односно надлежног органа општине Горњи Милановац.</w:t>
      </w:r>
    </w:p>
    <w:p w:rsidR="00221D41" w:rsidRDefault="00FF2232" w:rsidP="007C12CE">
      <w:pPr>
        <w:ind w:firstLine="360"/>
        <w:jc w:val="both"/>
      </w:pPr>
      <w:r w:rsidRPr="002F3F26">
        <w:rPr>
          <w:lang w:val="sr-Cyrl-CS"/>
        </w:rPr>
        <w:t xml:space="preserve"> </w:t>
      </w:r>
      <w:r w:rsidRPr="002F3F26">
        <w:rPr>
          <w:lang w:val="sr-Cyrl-CS"/>
        </w:rPr>
        <w:tab/>
        <w:t>3. Ради сагледавања могућности буџета општине Горњи Милановац за 20</w:t>
      </w:r>
      <w:r w:rsidR="00A5511B">
        <w:rPr>
          <w:lang w:val="sr-Cyrl-CS"/>
        </w:rPr>
        <w:t>2</w:t>
      </w:r>
      <w:r w:rsidR="00B41D99">
        <w:rPr>
          <w:lang w:val="sr-Cyrl-CS"/>
        </w:rPr>
        <w:t>2</w:t>
      </w:r>
      <w:r w:rsidRPr="002F3F26">
        <w:rPr>
          <w:lang w:val="sr-Cyrl-CS"/>
        </w:rPr>
        <w:t>. годину и наредне две године, даје се следећа пројекција прихода и примања</w:t>
      </w:r>
      <w:r w:rsidR="00CF6FB0">
        <w:t>:</w:t>
      </w:r>
    </w:p>
    <w:p w:rsidR="00CC1B93" w:rsidRDefault="00CC1B93" w:rsidP="007C12CE">
      <w:pPr>
        <w:ind w:firstLine="360"/>
        <w:jc w:val="both"/>
      </w:pPr>
    </w:p>
    <w:tbl>
      <w:tblPr>
        <w:tblpPr w:leftFromText="180" w:rightFromText="180" w:bottomFromText="200" w:vertAnchor="text" w:horzAnchor="margin" w:tblpX="-351" w:tblpY="19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3019"/>
        <w:gridCol w:w="1236"/>
        <w:gridCol w:w="1277"/>
        <w:gridCol w:w="1277"/>
        <w:gridCol w:w="1277"/>
        <w:gridCol w:w="1276"/>
      </w:tblGrid>
      <w:tr w:rsidR="00CC1B93" w:rsidTr="007B68D4">
        <w:trPr>
          <w:trHeight w:val="893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Екон.</w:t>
            </w:r>
          </w:p>
          <w:p w:rsidR="00CC1B93" w:rsidRDefault="00CC1B93" w:rsidP="00E22A66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клас.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Опис прихода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Основни буџет 2021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Процена оствар.</w:t>
            </w:r>
          </w:p>
          <w:p w:rsidR="00CC1B93" w:rsidRDefault="00CC1B93" w:rsidP="00E22A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Пројекција</w:t>
            </w:r>
          </w:p>
        </w:tc>
      </w:tr>
      <w:tr w:rsidR="00CC1B93" w:rsidTr="007B68D4">
        <w:trPr>
          <w:trHeight w:val="34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B93" w:rsidRDefault="00CC1B93" w:rsidP="00E22A66">
            <w:pPr>
              <w:rPr>
                <w:b/>
                <w:lang w:val="sr-Cyrl-CS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B93" w:rsidRDefault="00CC1B93" w:rsidP="00E22A66">
            <w:pPr>
              <w:rPr>
                <w:b/>
                <w:lang w:val="sr-Cyrl-C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B93" w:rsidRDefault="00CC1B93" w:rsidP="00E22A66">
            <w:pPr>
              <w:rPr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C1B93" w:rsidRDefault="00CC1B93" w:rsidP="00E22A66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2024</w:t>
            </w:r>
          </w:p>
        </w:tc>
      </w:tr>
      <w:tr w:rsidR="00CC1B93" w:rsidTr="00730E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</w:pPr>
            <w:r>
              <w:rPr>
                <w:bCs/>
                <w:lang w:val="ru-RU"/>
              </w:rPr>
              <w:t>Порез на доходак, добит и капиталне добитке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759.820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900.000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960.000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1.000.000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1.050.000</w:t>
            </w:r>
          </w:p>
        </w:tc>
      </w:tr>
      <w:tr w:rsidR="00CC1B93" w:rsidTr="00730EA0">
        <w:trPr>
          <w:trHeight w:val="4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713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</w:pPr>
            <w:r>
              <w:rPr>
                <w:bCs/>
              </w:rPr>
              <w:t>Порез на имовину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225.000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230.000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250.000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260.000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270.000</w:t>
            </w:r>
          </w:p>
        </w:tc>
      </w:tr>
      <w:tr w:rsidR="00CC1B93" w:rsidTr="00730EA0">
        <w:trPr>
          <w:trHeight w:val="4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714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</w:pPr>
            <w:r>
              <w:rPr>
                <w:bCs/>
                <w:lang w:val="ru-RU"/>
              </w:rPr>
              <w:t>Порез на добра и услуге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44.000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50.000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50.000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52.000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53.000</w:t>
            </w:r>
          </w:p>
        </w:tc>
      </w:tr>
      <w:tr w:rsidR="00CC1B93" w:rsidTr="00730EA0">
        <w:trPr>
          <w:trHeight w:val="41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716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</w:pPr>
            <w:r>
              <w:rPr>
                <w:lang w:val="ru-RU"/>
              </w:rPr>
              <w:t>Други порези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25.000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25.000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25.000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25.000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25.000</w:t>
            </w:r>
          </w:p>
        </w:tc>
      </w:tr>
      <w:tr w:rsidR="00CC1B93" w:rsidTr="007C12CE">
        <w:trPr>
          <w:trHeight w:val="4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</w:pPr>
            <w:r>
              <w:rPr>
                <w:bCs/>
              </w:rPr>
              <w:t>Донације и трансфери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Default="00CC1B93" w:rsidP="00BA3DE9">
            <w:pPr>
              <w:spacing w:line="276" w:lineRule="auto"/>
              <w:jc w:val="right"/>
            </w:pPr>
            <w:r>
              <w:t>2</w:t>
            </w:r>
            <w:r w:rsidR="00BA3DE9">
              <w:t>38</w:t>
            </w:r>
            <w:r>
              <w:t>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257.000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Default="00CC1B93" w:rsidP="007E4C2B">
            <w:pPr>
              <w:spacing w:line="276" w:lineRule="auto"/>
              <w:jc w:val="right"/>
            </w:pPr>
            <w:r>
              <w:t>2</w:t>
            </w:r>
            <w:r w:rsidR="007E4C2B">
              <w:t>40</w:t>
            </w:r>
            <w:r>
              <w:t>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240.000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240.000</w:t>
            </w:r>
          </w:p>
        </w:tc>
      </w:tr>
      <w:tr w:rsidR="00CC1B93" w:rsidTr="00730EA0">
        <w:trPr>
          <w:trHeight w:val="41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741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</w:pPr>
            <w:r>
              <w:rPr>
                <w:bCs/>
              </w:rPr>
              <w:t>Приходи од имовине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69.000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58.000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60.000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62.000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63.000</w:t>
            </w:r>
          </w:p>
        </w:tc>
      </w:tr>
      <w:tr w:rsidR="00CC1B93" w:rsidTr="00730E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742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</w:pPr>
            <w:r>
              <w:rPr>
                <w:bCs/>
                <w:lang w:val="ru-RU"/>
              </w:rPr>
              <w:t>Приходи од продаје добара и услуга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50.000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51.000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52.000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53.000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54.000</w:t>
            </w:r>
          </w:p>
        </w:tc>
      </w:tr>
      <w:tr w:rsidR="00CC1B93" w:rsidTr="00730E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743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</w:pPr>
            <w:r>
              <w:rPr>
                <w:bCs/>
                <w:lang w:val="ru-RU"/>
              </w:rPr>
              <w:t>Новчане казне и одузета имовинска корист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12.000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14.000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15.000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15.000</w:t>
            </w:r>
          </w:p>
        </w:tc>
      </w:tr>
      <w:tr w:rsidR="00CC1B93" w:rsidTr="00730E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744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</w:pPr>
            <w:r>
              <w:rPr>
                <w:bCs/>
                <w:lang w:val="ru-RU"/>
              </w:rPr>
              <w:t>Доброво</w:t>
            </w:r>
            <w:r>
              <w:rPr>
                <w:bCs/>
                <w:lang w:val="sr-Cyrl-CS"/>
              </w:rPr>
              <w:t>љ</w:t>
            </w:r>
            <w:r>
              <w:rPr>
                <w:bCs/>
                <w:lang w:val="ru-RU"/>
              </w:rPr>
              <w:t>ни трансфер од физичких и правних лица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14.000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14.000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14.000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14.000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14.000</w:t>
            </w:r>
          </w:p>
        </w:tc>
      </w:tr>
      <w:tr w:rsidR="00CC1B93" w:rsidTr="00730E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745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</w:pPr>
            <w:r>
              <w:t>Мешовити и неодређени приходи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17.000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15.000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15.000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16.000</w:t>
            </w:r>
          </w:p>
        </w:tc>
      </w:tr>
      <w:tr w:rsidR="00CC1B93" w:rsidTr="00730E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770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</w:pPr>
            <w:r>
              <w:rPr>
                <w:bCs/>
                <w:lang w:val="ru-RU"/>
              </w:rPr>
              <w:t>Меморандумске ставке за рефундацију расход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1.000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300</w:t>
            </w:r>
          </w:p>
        </w:tc>
      </w:tr>
      <w:tr w:rsidR="00CC1B93" w:rsidTr="00730E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3" w:rsidRDefault="00CC1B93" w:rsidP="00E22A66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B93" w:rsidRDefault="00CC1B93" w:rsidP="00E22A66">
            <w:pPr>
              <w:spacing w:line="276" w:lineRule="auto"/>
            </w:pPr>
            <w:r>
              <w:rPr>
                <w:bCs/>
                <w:lang w:val="ru-RU"/>
              </w:rPr>
              <w:t>Примања од продаје основних средстава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3.000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1.500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Default="00CC1B93" w:rsidP="00E22A66">
            <w:pPr>
              <w:spacing w:line="276" w:lineRule="auto"/>
              <w:jc w:val="right"/>
            </w:pPr>
            <w:r>
              <w:t>1.500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1.500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93" w:rsidRPr="00EC220C" w:rsidRDefault="00EC220C" w:rsidP="00E22A66">
            <w:pPr>
              <w:spacing w:line="276" w:lineRule="auto"/>
              <w:jc w:val="right"/>
            </w:pPr>
            <w:r>
              <w:t>1.500</w:t>
            </w:r>
          </w:p>
        </w:tc>
      </w:tr>
      <w:tr w:rsidR="00CC1B93" w:rsidTr="009363D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1B93" w:rsidRDefault="00CC1B93" w:rsidP="00E22A66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C1B93" w:rsidRDefault="00CC1B93" w:rsidP="00E22A66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УКУПНО ПРИХОДИ И ПРИМАЊА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1B93" w:rsidRDefault="00CC1B93" w:rsidP="00BA3DE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1.4</w:t>
            </w:r>
            <w:r w:rsidR="00BA3DE9">
              <w:rPr>
                <w:b/>
              </w:rPr>
              <w:t>57</w:t>
            </w:r>
            <w:r>
              <w:rPr>
                <w:b/>
              </w:rPr>
              <w:t>.820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1B93" w:rsidRDefault="00CC1B93" w:rsidP="00E22A6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1.615.800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1B93" w:rsidRDefault="00CC1B93" w:rsidP="007E4C2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1.6</w:t>
            </w:r>
            <w:r w:rsidR="007E4C2B">
              <w:rPr>
                <w:b/>
              </w:rPr>
              <w:t>82</w:t>
            </w:r>
            <w:r>
              <w:rPr>
                <w:b/>
              </w:rPr>
              <w:t>.800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1B93" w:rsidRPr="00695D2D" w:rsidRDefault="00695D2D" w:rsidP="00E22A6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1.737.800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1B93" w:rsidRPr="00695D2D" w:rsidRDefault="00695D2D" w:rsidP="00E22A6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1.801.800</w:t>
            </w:r>
          </w:p>
        </w:tc>
      </w:tr>
    </w:tbl>
    <w:p w:rsidR="00CC1B93" w:rsidRPr="00CC1B93" w:rsidRDefault="00CC1B93" w:rsidP="00730EA0">
      <w:pPr>
        <w:jc w:val="both"/>
      </w:pPr>
    </w:p>
    <w:p w:rsidR="00944D27" w:rsidRPr="002F3F26" w:rsidRDefault="005D5D14" w:rsidP="009A00D1">
      <w:pPr>
        <w:rPr>
          <w:lang w:val="sr-Cyrl-CS"/>
        </w:rPr>
      </w:pPr>
      <w:r w:rsidRPr="002F3F26">
        <w:t xml:space="preserve">                                                                                                    </w:t>
      </w:r>
      <w:r w:rsidR="00FF2232" w:rsidRPr="002F3F26">
        <w:rPr>
          <w:lang w:val="sr-Cyrl-CS"/>
        </w:rPr>
        <w:t xml:space="preserve"> </w:t>
      </w:r>
    </w:p>
    <w:p w:rsidR="001F32F8" w:rsidRPr="007B6CC6" w:rsidRDefault="00FF2232" w:rsidP="007C12CE">
      <w:pPr>
        <w:spacing w:after="120"/>
        <w:ind w:firstLine="720"/>
        <w:jc w:val="both"/>
        <w:rPr>
          <w:lang w:val="sr-Cyrl-CS"/>
        </w:rPr>
      </w:pPr>
      <w:r w:rsidRPr="007C12CE">
        <w:rPr>
          <w:lang w:val="sr-Cyrl-CS"/>
        </w:rPr>
        <w:t xml:space="preserve">4. </w:t>
      </w:r>
      <w:r w:rsidR="009A00D1" w:rsidRPr="007C12CE">
        <w:rPr>
          <w:lang w:val="sr-Cyrl-CS"/>
        </w:rPr>
        <w:t>С</w:t>
      </w:r>
      <w:r w:rsidR="001F32F8" w:rsidRPr="007C12CE">
        <w:t xml:space="preserve">редства за плате планирају су на нивоу </w:t>
      </w:r>
      <w:r w:rsidR="009A00D1" w:rsidRPr="007C12CE">
        <w:t>исплаћених плата у</w:t>
      </w:r>
      <w:r w:rsidR="001F32F8" w:rsidRPr="007C12CE">
        <w:t xml:space="preserve"> 20</w:t>
      </w:r>
      <w:r w:rsidR="00731B9F" w:rsidRPr="007C12CE">
        <w:t>2</w:t>
      </w:r>
      <w:r w:rsidR="00CA718B" w:rsidRPr="007C12CE">
        <w:t>1</w:t>
      </w:r>
      <w:r w:rsidR="001F32F8" w:rsidRPr="007C12CE">
        <w:t xml:space="preserve">. </w:t>
      </w:r>
      <w:r w:rsidR="000F7969" w:rsidRPr="007C12CE">
        <w:t>г</w:t>
      </w:r>
      <w:r w:rsidR="001F32F8" w:rsidRPr="007C12CE">
        <w:t>один</w:t>
      </w:r>
      <w:r w:rsidR="009A00D1" w:rsidRPr="007C12CE">
        <w:t>и</w:t>
      </w:r>
      <w:r w:rsidR="007B6CC6" w:rsidRPr="007C12CE">
        <w:t>, с тим да обим средстава не сме бити већи од лимита предвиђеног чланом 43. Закона о буџету Републике Србије за 202</w:t>
      </w:r>
      <w:r w:rsidR="00D452E4" w:rsidRPr="007C12CE">
        <w:t>1</w:t>
      </w:r>
      <w:r w:rsidR="007B6CC6" w:rsidRPr="007C12CE">
        <w:t>. годину</w:t>
      </w:r>
      <w:r w:rsidR="000F7969" w:rsidRPr="007C12CE">
        <w:t>.</w:t>
      </w:r>
      <w:r w:rsidR="001F32F8" w:rsidRPr="007C12CE">
        <w:rPr>
          <w:lang w:val="sr-Cyrl-CS"/>
        </w:rPr>
        <w:t xml:space="preserve"> </w:t>
      </w:r>
      <w:r w:rsidR="007B6CC6" w:rsidRPr="007C12CE">
        <w:rPr>
          <w:bCs/>
        </w:rPr>
        <w:t>Средства за плате се планирају на бази броја запослених који раде, а не систематизованог броја запослених</w:t>
      </w:r>
      <w:r w:rsidR="007B6CC6" w:rsidRPr="007B6CC6">
        <w:rPr>
          <w:bCs/>
        </w:rPr>
        <w:t>.</w:t>
      </w:r>
    </w:p>
    <w:p w:rsidR="00FF2232" w:rsidRPr="002F3F26" w:rsidRDefault="00FF2232" w:rsidP="007C12CE">
      <w:pPr>
        <w:spacing w:after="120"/>
        <w:ind w:firstLine="720"/>
        <w:jc w:val="both"/>
        <w:rPr>
          <w:lang w:val="sr-Cyrl-CS"/>
        </w:rPr>
      </w:pPr>
      <w:r w:rsidRPr="002F3F26">
        <w:rPr>
          <w:lang w:val="sr-Cyrl-CS"/>
        </w:rPr>
        <w:t xml:space="preserve">5. Расходе по основу куповине роба и услуга треба планирати на нивоу </w:t>
      </w:r>
      <w:r w:rsidR="00731B9F">
        <w:rPr>
          <w:lang w:val="sr-Cyrl-CS"/>
        </w:rPr>
        <w:t>2021</w:t>
      </w:r>
      <w:r w:rsidR="00297EE6" w:rsidRPr="002F3F26">
        <w:rPr>
          <w:lang w:val="sr-Cyrl-CS"/>
        </w:rPr>
        <w:t>. године</w:t>
      </w:r>
      <w:r w:rsidRPr="002F3F26">
        <w:rPr>
          <w:lang w:val="sr-Cyrl-CS"/>
        </w:rPr>
        <w:t xml:space="preserve"> (ограничења услуге репрезентације, поклона, службених путовања, контрола дневница, фикс</w:t>
      </w:r>
      <w:r w:rsidR="00E674D0">
        <w:rPr>
          <w:lang w:val="sr-Cyrl-CS"/>
        </w:rPr>
        <w:t>не</w:t>
      </w:r>
      <w:r w:rsidR="000848E2" w:rsidRPr="002F3F26">
        <w:rPr>
          <w:lang w:val="sr-Cyrl-CS"/>
        </w:rPr>
        <w:t xml:space="preserve"> и мобилне телефоније и др.) и они се могу планирати само ако су у </w:t>
      </w:r>
      <w:r w:rsidR="000848E2" w:rsidRPr="002F3F26">
        <w:rPr>
          <w:lang w:val="sr-Cyrl-CS"/>
        </w:rPr>
        <w:lastRenderedPageBreak/>
        <w:t>функцији обављања изворних и поверених послова у складу са Законом односно актом оснивача</w:t>
      </w:r>
      <w:r w:rsidR="00CB2FB7" w:rsidRPr="002F3F26">
        <w:rPr>
          <w:lang w:val="sr-Cyrl-CS"/>
        </w:rPr>
        <w:t>.</w:t>
      </w:r>
    </w:p>
    <w:p w:rsidR="00FF2232" w:rsidRPr="002F3F26" w:rsidRDefault="00FF2232" w:rsidP="007C12CE">
      <w:pPr>
        <w:jc w:val="both"/>
        <w:rPr>
          <w:lang w:val="sr-Cyrl-CS"/>
        </w:rPr>
      </w:pPr>
      <w:r w:rsidRPr="002F3F26">
        <w:rPr>
          <w:lang w:val="sr-Cyrl-CS"/>
        </w:rPr>
        <w:tab/>
        <w:t xml:space="preserve">6. Набавка роба и услуга и капитална улагања (зграде, опрема) </w:t>
      </w:r>
      <w:r w:rsidR="00CB005C">
        <w:rPr>
          <w:lang w:val="sr-Cyrl-CS"/>
        </w:rPr>
        <w:t>морају бити у складу са Законом</w:t>
      </w:r>
      <w:r w:rsidRPr="002F3F26">
        <w:rPr>
          <w:lang w:val="sr-Cyrl-CS"/>
        </w:rPr>
        <w:t xml:space="preserve"> о јавним набавкама. У 20</w:t>
      </w:r>
      <w:r w:rsidR="00731B9F">
        <w:rPr>
          <w:lang w:val="sr-Cyrl-CS"/>
        </w:rPr>
        <w:t>2</w:t>
      </w:r>
      <w:r w:rsidR="00D452E4">
        <w:rPr>
          <w:lang w:val="sr-Cyrl-CS"/>
        </w:rPr>
        <w:t>2</w:t>
      </w:r>
      <w:r w:rsidR="00CB005C">
        <w:rPr>
          <w:lang w:val="sr-Cyrl-CS"/>
        </w:rPr>
        <w:t>.</w:t>
      </w:r>
      <w:r w:rsidRPr="002F3F26">
        <w:rPr>
          <w:lang w:val="sr-Cyrl-CS"/>
        </w:rPr>
        <w:t xml:space="preserve"> години расходи на терет буџета неће се извршавати уколико не постоји план јавних набавки.</w:t>
      </w:r>
    </w:p>
    <w:p w:rsidR="00CF6FB0" w:rsidRPr="00E22615" w:rsidRDefault="00FF2232" w:rsidP="007C12CE">
      <w:pPr>
        <w:jc w:val="both"/>
      </w:pPr>
      <w:r w:rsidRPr="002F3F26">
        <w:rPr>
          <w:lang w:val="sr-Cyrl-CS"/>
        </w:rPr>
        <w:tab/>
      </w:r>
    </w:p>
    <w:p w:rsidR="002F5276" w:rsidRDefault="001C237A" w:rsidP="007C12CE">
      <w:pPr>
        <w:ind w:firstLine="720"/>
        <w:jc w:val="center"/>
        <w:rPr>
          <w:b/>
          <w:lang w:val="sr-Cyrl-CS"/>
        </w:rPr>
      </w:pPr>
      <w:r w:rsidRPr="002F3F26">
        <w:rPr>
          <w:b/>
          <w:lang w:val="sr-Cyrl-CS"/>
        </w:rPr>
        <w:t>Преглед лимита укупних расхода буџетских корисника</w:t>
      </w:r>
    </w:p>
    <w:p w:rsidR="002F5276" w:rsidRDefault="001C237A" w:rsidP="007C12CE">
      <w:pPr>
        <w:ind w:firstLine="720"/>
        <w:jc w:val="center"/>
        <w:rPr>
          <w:b/>
          <w:lang w:val="sr-Cyrl-CS"/>
        </w:rPr>
      </w:pPr>
      <w:r w:rsidRPr="002F3F26">
        <w:rPr>
          <w:b/>
        </w:rPr>
        <w:t xml:space="preserve"> </w:t>
      </w:r>
      <w:r>
        <w:rPr>
          <w:b/>
          <w:lang w:val="sr-Cyrl-CS"/>
        </w:rPr>
        <w:t xml:space="preserve">у </w:t>
      </w:r>
      <w:r w:rsidR="00EF5A01">
        <w:rPr>
          <w:b/>
        </w:rPr>
        <w:t>202</w:t>
      </w:r>
      <w:r w:rsidR="002D4A14">
        <w:rPr>
          <w:b/>
        </w:rPr>
        <w:t>2</w:t>
      </w:r>
      <w:r w:rsidR="00EF5A01">
        <w:rPr>
          <w:b/>
        </w:rPr>
        <w:t>, 202</w:t>
      </w:r>
      <w:r w:rsidR="002D4A14">
        <w:rPr>
          <w:b/>
        </w:rPr>
        <w:t>3</w:t>
      </w:r>
      <w:r>
        <w:rPr>
          <w:b/>
        </w:rPr>
        <w:t xml:space="preserve"> и 202</w:t>
      </w:r>
      <w:r w:rsidR="002D4A14">
        <w:rPr>
          <w:b/>
        </w:rPr>
        <w:t>4</w:t>
      </w:r>
      <w:r>
        <w:rPr>
          <w:b/>
        </w:rPr>
        <w:t>.</w:t>
      </w:r>
      <w:r w:rsidR="002F5276">
        <w:rPr>
          <w:b/>
        </w:rPr>
        <w:t xml:space="preserve"> </w:t>
      </w:r>
      <w:r w:rsidRPr="002F3F26">
        <w:rPr>
          <w:b/>
          <w:lang w:val="sr-Cyrl-CS"/>
        </w:rPr>
        <w:t xml:space="preserve">из </w:t>
      </w:r>
      <w:r>
        <w:rPr>
          <w:b/>
          <w:lang w:val="sr-Cyrl-CS"/>
        </w:rPr>
        <w:t>текућих прихода и примања</w:t>
      </w:r>
    </w:p>
    <w:p w:rsidR="001C237A" w:rsidRPr="002F5276" w:rsidRDefault="007B68D4" w:rsidP="007C12CE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са</w:t>
      </w:r>
      <w:r w:rsidR="00555713">
        <w:rPr>
          <w:b/>
          <w:lang w:val="sr-Cyrl-CS"/>
        </w:rPr>
        <w:t xml:space="preserve"> прегледом</w:t>
      </w:r>
      <w:r w:rsidR="001C237A">
        <w:rPr>
          <w:b/>
          <w:lang w:val="sr-Cyrl-CS"/>
        </w:rPr>
        <w:t xml:space="preserve"> </w:t>
      </w:r>
      <w:r w:rsidR="00555713">
        <w:rPr>
          <w:b/>
        </w:rPr>
        <w:t>планираних</w:t>
      </w:r>
      <w:r w:rsidR="001C237A">
        <w:rPr>
          <w:b/>
        </w:rPr>
        <w:t xml:space="preserve"> </w:t>
      </w:r>
      <w:r w:rsidR="000E60A6">
        <w:rPr>
          <w:b/>
          <w:lang w:val="sr-Cyrl-CS"/>
        </w:rPr>
        <w:t xml:space="preserve">расхода </w:t>
      </w:r>
      <w:r w:rsidR="00555713">
        <w:rPr>
          <w:b/>
          <w:lang w:val="sr-Cyrl-CS"/>
        </w:rPr>
        <w:t>у</w:t>
      </w:r>
      <w:r w:rsidR="000E60A6">
        <w:rPr>
          <w:b/>
          <w:lang w:val="sr-Cyrl-CS"/>
        </w:rPr>
        <w:t xml:space="preserve"> 20</w:t>
      </w:r>
      <w:r w:rsidR="00EF5A01">
        <w:rPr>
          <w:b/>
          <w:lang w:val="sr-Cyrl-CS"/>
        </w:rPr>
        <w:t>2</w:t>
      </w:r>
      <w:r w:rsidR="002D4A14">
        <w:rPr>
          <w:b/>
          <w:lang w:val="sr-Cyrl-CS"/>
        </w:rPr>
        <w:t>1</w:t>
      </w:r>
      <w:r w:rsidR="00555713">
        <w:rPr>
          <w:b/>
          <w:lang w:val="sr-Cyrl-CS"/>
        </w:rPr>
        <w:t>. години</w:t>
      </w:r>
    </w:p>
    <w:p w:rsidR="00FF2232" w:rsidRPr="002F3F26" w:rsidRDefault="00FF2232" w:rsidP="007C12CE">
      <w:pPr>
        <w:jc w:val="both"/>
        <w:rPr>
          <w:lang w:val="sr-Cyrl-CS"/>
        </w:rPr>
      </w:pPr>
    </w:p>
    <w:p w:rsidR="00944D27" w:rsidRPr="002F3F26" w:rsidRDefault="00FF2232" w:rsidP="000967A1">
      <w:pPr>
        <w:spacing w:after="120"/>
        <w:jc w:val="both"/>
        <w:rPr>
          <w:lang w:val="sr-Cyrl-CS"/>
        </w:rPr>
      </w:pPr>
      <w:r w:rsidRPr="002F3F26">
        <w:rPr>
          <w:lang w:val="sr-Cyrl-CS"/>
        </w:rPr>
        <w:tab/>
        <w:t>Правни основ за утврђивање предлога обима средстава у финансијским плановима директних и индиректних корисника средстава буџета локалне власти садржан је у члану 40. тачка 4. Закона о буџетском систему</w:t>
      </w:r>
      <w:r w:rsidR="0077488C" w:rsidRPr="002F3F26">
        <w:rPr>
          <w:lang w:val="sr-Cyrl-CS"/>
        </w:rPr>
        <w:t>.</w:t>
      </w:r>
    </w:p>
    <w:p w:rsidR="00FF2232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ab/>
        <w:t>Лимити расхода за буџетске кориснике</w:t>
      </w:r>
      <w:r w:rsidR="00E250FC" w:rsidRPr="002F3F26">
        <w:rPr>
          <w:lang w:val="sr-Cyrl-CS"/>
        </w:rPr>
        <w:t xml:space="preserve"> општине Горњи Милановац за 20</w:t>
      </w:r>
      <w:r w:rsidR="00EF5A01">
        <w:rPr>
          <w:lang w:val="sr-Cyrl-CS"/>
        </w:rPr>
        <w:t>2</w:t>
      </w:r>
      <w:r w:rsidR="00C21B87">
        <w:rPr>
          <w:lang w:val="sr-Cyrl-CS"/>
        </w:rPr>
        <w:t>2</w:t>
      </w:r>
      <w:r w:rsidRPr="002F3F26">
        <w:rPr>
          <w:lang w:val="sr-Cyrl-CS"/>
        </w:rPr>
        <w:t xml:space="preserve">. годину, дати су на бази сагледавања потребних средстава за рад и функционисање буџетских корисника, </w:t>
      </w:r>
      <w:r w:rsidR="00907757" w:rsidRPr="002F3F26">
        <w:rPr>
          <w:lang w:val="sr-Cyrl-CS"/>
        </w:rPr>
        <w:t>створених</w:t>
      </w:r>
      <w:r w:rsidRPr="002F3F26">
        <w:rPr>
          <w:lang w:val="sr-Cyrl-CS"/>
        </w:rPr>
        <w:t xml:space="preserve"> обавеза и могућности смањења појединих расхода у оквиру директних и </w:t>
      </w:r>
      <w:r w:rsidR="00E250FC" w:rsidRPr="002F3F26">
        <w:rPr>
          <w:lang w:val="sr-Cyrl-CS"/>
        </w:rPr>
        <w:t>и</w:t>
      </w:r>
      <w:r w:rsidR="00A923F3">
        <w:rPr>
          <w:lang w:val="sr-Cyrl-CS"/>
        </w:rPr>
        <w:t>ндиректних буџетских корисника.</w:t>
      </w:r>
    </w:p>
    <w:p w:rsidR="00FF37B7" w:rsidRPr="003E717B" w:rsidRDefault="00FF37B7" w:rsidP="00555713">
      <w:pPr>
        <w:spacing w:after="120"/>
        <w:ind w:left="1440" w:firstLine="720"/>
        <w:jc w:val="right"/>
        <w:rPr>
          <w:sz w:val="20"/>
          <w:szCs w:val="20"/>
          <w:lang w:val="sr-Cyrl-CS"/>
        </w:rPr>
      </w:pPr>
      <w:r w:rsidRPr="003E717B">
        <w:rPr>
          <w:sz w:val="20"/>
          <w:szCs w:val="20"/>
          <w:lang w:val="sr-Cyrl-CS"/>
        </w:rPr>
        <w:t xml:space="preserve">                                  </w:t>
      </w:r>
      <w:r w:rsidR="00B9490D" w:rsidRPr="003E717B">
        <w:rPr>
          <w:sz w:val="20"/>
          <w:szCs w:val="20"/>
          <w:lang w:val="sr-Cyrl-CS"/>
        </w:rPr>
        <w:t xml:space="preserve">                                                               </w:t>
      </w:r>
      <w:r w:rsidRPr="003E717B">
        <w:rPr>
          <w:sz w:val="20"/>
          <w:szCs w:val="20"/>
          <w:lang w:val="sr-Cyrl-CS"/>
        </w:rPr>
        <w:t xml:space="preserve">   </w:t>
      </w:r>
      <w:r w:rsidR="00671D02" w:rsidRPr="003E717B">
        <w:rPr>
          <w:sz w:val="20"/>
          <w:szCs w:val="20"/>
          <w:lang w:val="sr-Cyrl-CS"/>
        </w:rPr>
        <w:t xml:space="preserve">      </w:t>
      </w:r>
      <w:r w:rsidR="006330AA" w:rsidRPr="003E717B">
        <w:rPr>
          <w:sz w:val="20"/>
          <w:szCs w:val="20"/>
        </w:rPr>
        <w:t xml:space="preserve">       </w:t>
      </w:r>
      <w:r w:rsidR="00671D02" w:rsidRPr="003E717B">
        <w:rPr>
          <w:sz w:val="20"/>
          <w:szCs w:val="20"/>
          <w:lang w:val="sr-Cyrl-CS"/>
        </w:rPr>
        <w:t xml:space="preserve">    </w:t>
      </w:r>
      <w:r w:rsidR="00B9490D" w:rsidRPr="003E717B">
        <w:rPr>
          <w:sz w:val="20"/>
          <w:szCs w:val="20"/>
          <w:lang w:val="sr-Cyrl-CS"/>
        </w:rPr>
        <w:t>(</w:t>
      </w:r>
      <w:r w:rsidR="005A0164" w:rsidRPr="003E717B">
        <w:rPr>
          <w:sz w:val="20"/>
          <w:szCs w:val="20"/>
          <w:lang w:val="sr-Cyrl-CS"/>
        </w:rPr>
        <w:t xml:space="preserve">у 000 </w:t>
      </w:r>
      <w:r w:rsidRPr="003E717B">
        <w:rPr>
          <w:sz w:val="20"/>
          <w:szCs w:val="20"/>
          <w:lang w:val="sr-Cyrl-CS"/>
        </w:rPr>
        <w:t>дин</w:t>
      </w:r>
      <w:r w:rsidR="00B9490D" w:rsidRPr="003E717B">
        <w:rPr>
          <w:sz w:val="20"/>
          <w:szCs w:val="20"/>
          <w:lang w:val="sr-Cyrl-CS"/>
        </w:rPr>
        <w:t>)</w:t>
      </w:r>
    </w:p>
    <w:tbl>
      <w:tblPr>
        <w:tblW w:w="111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3423"/>
        <w:gridCol w:w="1350"/>
        <w:gridCol w:w="1890"/>
        <w:gridCol w:w="1260"/>
        <w:gridCol w:w="1260"/>
        <w:gridCol w:w="1260"/>
      </w:tblGrid>
      <w:tr w:rsidR="00223B59" w:rsidRPr="00D22CB7" w:rsidTr="00AE1C53">
        <w:tc>
          <w:tcPr>
            <w:tcW w:w="717" w:type="dxa"/>
            <w:vMerge w:val="restart"/>
            <w:shd w:val="clear" w:color="auto" w:fill="auto"/>
            <w:vAlign w:val="center"/>
          </w:tcPr>
          <w:p w:rsidR="00223B59" w:rsidRPr="00D22CB7" w:rsidRDefault="00223B59" w:rsidP="00223B5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Разд/глава</w:t>
            </w:r>
          </w:p>
        </w:tc>
        <w:tc>
          <w:tcPr>
            <w:tcW w:w="3423" w:type="dxa"/>
            <w:vMerge w:val="restart"/>
            <w:shd w:val="clear" w:color="auto" w:fill="auto"/>
            <w:vAlign w:val="center"/>
          </w:tcPr>
          <w:p w:rsidR="00223B59" w:rsidRPr="00D22CB7" w:rsidRDefault="00223B59" w:rsidP="00223B5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БУЏЕТСКИ КОРИСНИК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223B59" w:rsidRPr="00D22CB7" w:rsidRDefault="007624CE" w:rsidP="00223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Основни Буџет </w:t>
            </w:r>
            <w:r w:rsidR="00223B59" w:rsidRPr="00D22CB7">
              <w:rPr>
                <w:b/>
                <w:sz w:val="20"/>
                <w:szCs w:val="20"/>
              </w:rPr>
              <w:t>2021</w:t>
            </w:r>
          </w:p>
          <w:p w:rsidR="00223B59" w:rsidRDefault="007624CE" w:rsidP="00223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(01+07+08</w:t>
            </w:r>
            <w:r w:rsidR="00223B5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223B59" w:rsidRPr="00223B59" w:rsidRDefault="00223B59" w:rsidP="00223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Ребаланс 2021 (01+07+08+13+15)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223B59" w:rsidRPr="00D22CB7" w:rsidRDefault="00223B59" w:rsidP="00223B59">
            <w:pPr>
              <w:jc w:val="center"/>
              <w:rPr>
                <w:b/>
                <w:sz w:val="20"/>
                <w:szCs w:val="20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Укупни лимити из буџета</w:t>
            </w:r>
          </w:p>
        </w:tc>
      </w:tr>
      <w:tr w:rsidR="00223B59" w:rsidRPr="00D22CB7" w:rsidTr="00AE1C53">
        <w:tc>
          <w:tcPr>
            <w:tcW w:w="717" w:type="dxa"/>
            <w:vMerge/>
            <w:shd w:val="clear" w:color="auto" w:fill="auto"/>
            <w:vAlign w:val="center"/>
          </w:tcPr>
          <w:p w:rsidR="00223B59" w:rsidRPr="00D22CB7" w:rsidRDefault="00223B59" w:rsidP="00223B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vMerge/>
            <w:shd w:val="clear" w:color="auto" w:fill="auto"/>
            <w:vAlign w:val="center"/>
          </w:tcPr>
          <w:p w:rsidR="00223B59" w:rsidRPr="00D22CB7" w:rsidRDefault="00223B59" w:rsidP="00223B5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23B59" w:rsidRDefault="00223B59" w:rsidP="00223B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23B59" w:rsidRDefault="00223B59" w:rsidP="00223B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223B59">
            <w:pPr>
              <w:jc w:val="center"/>
              <w:rPr>
                <w:b/>
                <w:sz w:val="20"/>
                <w:szCs w:val="20"/>
              </w:rPr>
            </w:pPr>
            <w:r w:rsidRPr="00D22CB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223B59">
            <w:pPr>
              <w:jc w:val="center"/>
              <w:rPr>
                <w:b/>
                <w:sz w:val="20"/>
                <w:szCs w:val="20"/>
              </w:rPr>
            </w:pPr>
            <w:r w:rsidRPr="00D22CB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223B59">
            <w:pPr>
              <w:jc w:val="center"/>
              <w:rPr>
                <w:b/>
                <w:sz w:val="20"/>
                <w:szCs w:val="20"/>
              </w:rPr>
            </w:pPr>
            <w:r w:rsidRPr="00D22CB7">
              <w:rPr>
                <w:b/>
                <w:sz w:val="20"/>
                <w:szCs w:val="20"/>
              </w:rPr>
              <w:t>2024</w:t>
            </w:r>
          </w:p>
        </w:tc>
      </w:tr>
      <w:tr w:rsidR="00223B59" w:rsidRPr="00D22CB7" w:rsidTr="00AE1C53">
        <w:tc>
          <w:tcPr>
            <w:tcW w:w="717" w:type="dxa"/>
            <w:shd w:val="clear" w:color="auto" w:fill="B6DDE8" w:themeFill="accent5" w:themeFillTint="66"/>
            <w:vAlign w:val="center"/>
          </w:tcPr>
          <w:p w:rsidR="00223B59" w:rsidRPr="00D22CB7" w:rsidRDefault="00223B59" w:rsidP="00757665">
            <w:pPr>
              <w:jc w:val="center"/>
              <w:rPr>
                <w:b/>
                <w:sz w:val="20"/>
                <w:szCs w:val="20"/>
              </w:rPr>
            </w:pPr>
            <w:r w:rsidRPr="00D22CB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23" w:type="dxa"/>
            <w:shd w:val="clear" w:color="auto" w:fill="B6DDE8" w:themeFill="accent5" w:themeFillTint="66"/>
            <w:vAlign w:val="center"/>
          </w:tcPr>
          <w:p w:rsidR="00223B59" w:rsidRPr="00D22CB7" w:rsidRDefault="00223B59" w:rsidP="00757665">
            <w:pPr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 xml:space="preserve">Скупштина општине </w:t>
            </w: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:rsidR="00223B59" w:rsidRPr="00F379C6" w:rsidRDefault="00223B59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14.320</w:t>
            </w:r>
          </w:p>
        </w:tc>
        <w:tc>
          <w:tcPr>
            <w:tcW w:w="1890" w:type="dxa"/>
            <w:shd w:val="clear" w:color="auto" w:fill="B6DDE8" w:themeFill="accent5" w:themeFillTint="66"/>
            <w:vAlign w:val="center"/>
          </w:tcPr>
          <w:p w:rsidR="00223B59" w:rsidRPr="00C301B9" w:rsidRDefault="00223B59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14.320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223B59" w:rsidRPr="00D22CB7" w:rsidRDefault="00223B59" w:rsidP="00CE1C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14.320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223B59" w:rsidRPr="00867F2D" w:rsidRDefault="00867F2D" w:rsidP="00C70E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70EB4">
              <w:rPr>
                <w:b/>
                <w:sz w:val="20"/>
                <w:szCs w:val="20"/>
              </w:rPr>
              <w:t>14.700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223B59" w:rsidRPr="00DD4DDD" w:rsidRDefault="00DD4DDD" w:rsidP="00C70E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14.700</w:t>
            </w:r>
          </w:p>
        </w:tc>
      </w:tr>
      <w:tr w:rsidR="00223B59" w:rsidRPr="00D22CB7" w:rsidTr="00AE1C53">
        <w:tc>
          <w:tcPr>
            <w:tcW w:w="717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223B59" w:rsidRPr="00D22CB7" w:rsidRDefault="00223B59" w:rsidP="00757665">
            <w:pPr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Програм 16 - Политички систем лок. самоуправе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23B59" w:rsidRPr="00D22CB7" w:rsidTr="00AE1C53">
        <w:tc>
          <w:tcPr>
            <w:tcW w:w="717" w:type="dxa"/>
            <w:shd w:val="clear" w:color="auto" w:fill="B6DDE8" w:themeFill="accent5" w:themeFillTint="66"/>
            <w:vAlign w:val="center"/>
          </w:tcPr>
          <w:p w:rsidR="00223B59" w:rsidRPr="00D22CB7" w:rsidRDefault="00223B59" w:rsidP="00757665">
            <w:pPr>
              <w:jc w:val="center"/>
              <w:rPr>
                <w:b/>
                <w:sz w:val="20"/>
                <w:szCs w:val="20"/>
              </w:rPr>
            </w:pPr>
            <w:r w:rsidRPr="00D22CB7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23" w:type="dxa"/>
            <w:shd w:val="clear" w:color="auto" w:fill="B6DDE8" w:themeFill="accent5" w:themeFillTint="66"/>
            <w:vAlign w:val="bottom"/>
          </w:tcPr>
          <w:p w:rsidR="00223B59" w:rsidRPr="00D22CB7" w:rsidRDefault="00223B59" w:rsidP="007576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CB7">
              <w:rPr>
                <w:b/>
                <w:bCs/>
                <w:color w:val="000000"/>
                <w:sz w:val="20"/>
                <w:szCs w:val="20"/>
              </w:rPr>
              <w:t>Председник општине</w:t>
            </w:r>
          </w:p>
        </w:tc>
        <w:tc>
          <w:tcPr>
            <w:tcW w:w="1350" w:type="dxa"/>
            <w:shd w:val="clear" w:color="auto" w:fill="B6DDE8" w:themeFill="accent5" w:themeFillTint="66"/>
            <w:vAlign w:val="bottom"/>
          </w:tcPr>
          <w:p w:rsidR="00223B59" w:rsidRPr="00F379C6" w:rsidRDefault="00223B59" w:rsidP="007576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19.160</w:t>
            </w:r>
          </w:p>
        </w:tc>
        <w:tc>
          <w:tcPr>
            <w:tcW w:w="1890" w:type="dxa"/>
            <w:shd w:val="clear" w:color="auto" w:fill="B6DDE8" w:themeFill="accent5" w:themeFillTint="66"/>
            <w:vAlign w:val="bottom"/>
          </w:tcPr>
          <w:p w:rsidR="00223B59" w:rsidRPr="00CF3CAA" w:rsidRDefault="00223B59" w:rsidP="007576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21.160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223B59" w:rsidRPr="00690CF6" w:rsidRDefault="00223B59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21.000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223B59" w:rsidRPr="00C70EB4" w:rsidRDefault="00C70EB4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21.600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223B59" w:rsidRPr="00DD4DDD" w:rsidRDefault="00DD4DDD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21.700</w:t>
            </w:r>
          </w:p>
        </w:tc>
      </w:tr>
      <w:tr w:rsidR="00223B59" w:rsidRPr="00D22CB7" w:rsidTr="00AE1C53">
        <w:tc>
          <w:tcPr>
            <w:tcW w:w="717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423" w:type="dxa"/>
            <w:shd w:val="clear" w:color="auto" w:fill="auto"/>
            <w:vAlign w:val="bottom"/>
          </w:tcPr>
          <w:p w:rsidR="00223B59" w:rsidRPr="00D22CB7" w:rsidRDefault="00223B59" w:rsidP="00757665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 xml:space="preserve">Програм 16 – </w:t>
            </w:r>
          </w:p>
          <w:p w:rsidR="00223B59" w:rsidRPr="00D22CB7" w:rsidRDefault="00223B59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Политички систем лок. самоупр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223B59" w:rsidRPr="00D22CB7" w:rsidRDefault="00223B59" w:rsidP="0075766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23B59" w:rsidRPr="00D22CB7" w:rsidRDefault="00223B59" w:rsidP="0075766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23B59" w:rsidRPr="00D22CB7" w:rsidTr="00AE1C53">
        <w:tc>
          <w:tcPr>
            <w:tcW w:w="717" w:type="dxa"/>
            <w:shd w:val="clear" w:color="auto" w:fill="B6DDE8" w:themeFill="accent5" w:themeFillTint="66"/>
            <w:vAlign w:val="center"/>
          </w:tcPr>
          <w:p w:rsidR="00223B59" w:rsidRPr="00D22CB7" w:rsidRDefault="00223B59" w:rsidP="00757665">
            <w:pPr>
              <w:jc w:val="center"/>
              <w:rPr>
                <w:b/>
                <w:sz w:val="20"/>
                <w:szCs w:val="20"/>
              </w:rPr>
            </w:pPr>
            <w:r w:rsidRPr="00D22CB7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423" w:type="dxa"/>
            <w:shd w:val="clear" w:color="auto" w:fill="B6DDE8" w:themeFill="accent5" w:themeFillTint="66"/>
            <w:vAlign w:val="center"/>
          </w:tcPr>
          <w:p w:rsidR="00223B59" w:rsidRPr="00D22CB7" w:rsidRDefault="00223B59" w:rsidP="00757665">
            <w:pPr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Општинско веће</w:t>
            </w:r>
          </w:p>
        </w:tc>
        <w:tc>
          <w:tcPr>
            <w:tcW w:w="1350" w:type="dxa"/>
            <w:shd w:val="clear" w:color="auto" w:fill="B6DDE8" w:themeFill="accent5" w:themeFillTint="66"/>
            <w:vAlign w:val="bottom"/>
          </w:tcPr>
          <w:p w:rsidR="00223B59" w:rsidRPr="00F379C6" w:rsidRDefault="00223B59" w:rsidP="007576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4.940</w:t>
            </w:r>
          </w:p>
        </w:tc>
        <w:tc>
          <w:tcPr>
            <w:tcW w:w="1890" w:type="dxa"/>
            <w:shd w:val="clear" w:color="auto" w:fill="B6DDE8" w:themeFill="accent5" w:themeFillTint="66"/>
            <w:vAlign w:val="bottom"/>
          </w:tcPr>
          <w:p w:rsidR="00223B59" w:rsidRPr="00CF3CAA" w:rsidRDefault="00223B59" w:rsidP="007576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4.940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223B59" w:rsidRPr="00FD72AF" w:rsidRDefault="00223B59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223B59" w:rsidRPr="00C70EB4" w:rsidRDefault="00C70EB4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223B59" w:rsidRPr="00DD4DDD" w:rsidRDefault="00DD4DDD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5.100</w:t>
            </w:r>
          </w:p>
        </w:tc>
      </w:tr>
      <w:tr w:rsidR="00223B59" w:rsidRPr="00D22CB7" w:rsidTr="00AE1C53">
        <w:tc>
          <w:tcPr>
            <w:tcW w:w="717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223B59" w:rsidRPr="00D22CB7" w:rsidRDefault="00223B59" w:rsidP="00757665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 xml:space="preserve">Програм 16 – </w:t>
            </w:r>
          </w:p>
          <w:p w:rsidR="00223B59" w:rsidRPr="00D22CB7" w:rsidRDefault="00223B59" w:rsidP="00757665">
            <w:pPr>
              <w:rPr>
                <w:b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Политички систем лок. самоупр.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223B59" w:rsidRPr="00D22CB7" w:rsidRDefault="00223B59" w:rsidP="007576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23B59" w:rsidRPr="00D22CB7" w:rsidRDefault="00223B59" w:rsidP="007576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23B59" w:rsidRPr="00D22CB7" w:rsidTr="00AE1C53">
        <w:tc>
          <w:tcPr>
            <w:tcW w:w="717" w:type="dxa"/>
            <w:shd w:val="clear" w:color="auto" w:fill="B6DDE8" w:themeFill="accent5" w:themeFillTint="66"/>
            <w:vAlign w:val="center"/>
          </w:tcPr>
          <w:p w:rsidR="00223B59" w:rsidRPr="00D22CB7" w:rsidRDefault="00223B59" w:rsidP="00757665">
            <w:pPr>
              <w:jc w:val="center"/>
              <w:rPr>
                <w:b/>
                <w:sz w:val="20"/>
                <w:szCs w:val="20"/>
              </w:rPr>
            </w:pPr>
            <w:r w:rsidRPr="00D22CB7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423" w:type="dxa"/>
            <w:shd w:val="clear" w:color="auto" w:fill="B6DDE8" w:themeFill="accent5" w:themeFillTint="66"/>
            <w:vAlign w:val="bottom"/>
          </w:tcPr>
          <w:p w:rsidR="00223B59" w:rsidRPr="00E22A66" w:rsidRDefault="00223B59" w:rsidP="007576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CB7">
              <w:rPr>
                <w:b/>
                <w:bCs/>
                <w:color w:val="000000"/>
                <w:sz w:val="20"/>
                <w:szCs w:val="20"/>
              </w:rPr>
              <w:t xml:space="preserve">Општинска управа – </w:t>
            </w:r>
            <w:r>
              <w:rPr>
                <w:b/>
                <w:bCs/>
                <w:color w:val="000000"/>
                <w:sz w:val="20"/>
                <w:szCs w:val="20"/>
              </w:rPr>
              <w:t>глава 4.01</w:t>
            </w:r>
          </w:p>
        </w:tc>
        <w:tc>
          <w:tcPr>
            <w:tcW w:w="1350" w:type="dxa"/>
            <w:shd w:val="clear" w:color="auto" w:fill="B6DDE8" w:themeFill="accent5" w:themeFillTint="66"/>
            <w:vAlign w:val="bottom"/>
          </w:tcPr>
          <w:p w:rsidR="00223B59" w:rsidRPr="00E22A66" w:rsidRDefault="00223B59" w:rsidP="007576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1.081.240</w:t>
            </w:r>
          </w:p>
        </w:tc>
        <w:tc>
          <w:tcPr>
            <w:tcW w:w="1890" w:type="dxa"/>
            <w:shd w:val="clear" w:color="auto" w:fill="B6DDE8" w:themeFill="accent5" w:themeFillTint="66"/>
            <w:vAlign w:val="bottom"/>
          </w:tcPr>
          <w:p w:rsidR="00223B59" w:rsidRPr="00FE1312" w:rsidRDefault="00223B59" w:rsidP="007576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1.345.841</w:t>
            </w:r>
          </w:p>
        </w:tc>
        <w:tc>
          <w:tcPr>
            <w:tcW w:w="1260" w:type="dxa"/>
            <w:shd w:val="clear" w:color="auto" w:fill="B6DDE8" w:themeFill="accent5" w:themeFillTint="66"/>
            <w:vAlign w:val="bottom"/>
          </w:tcPr>
          <w:p w:rsidR="00223B59" w:rsidRPr="0019174A" w:rsidRDefault="00223B59" w:rsidP="007576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1.304.340</w:t>
            </w:r>
          </w:p>
        </w:tc>
        <w:tc>
          <w:tcPr>
            <w:tcW w:w="1260" w:type="dxa"/>
            <w:shd w:val="clear" w:color="auto" w:fill="B6DDE8" w:themeFill="accent5" w:themeFillTint="66"/>
            <w:vAlign w:val="bottom"/>
          </w:tcPr>
          <w:p w:rsidR="00223B59" w:rsidRPr="00C70EB4" w:rsidRDefault="00C70EB4" w:rsidP="00C70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1.339.300</w:t>
            </w:r>
          </w:p>
        </w:tc>
        <w:tc>
          <w:tcPr>
            <w:tcW w:w="1260" w:type="dxa"/>
            <w:shd w:val="clear" w:color="auto" w:fill="B6DDE8" w:themeFill="accent5" w:themeFillTint="66"/>
            <w:vAlign w:val="bottom"/>
          </w:tcPr>
          <w:p w:rsidR="00223B59" w:rsidRPr="006117CC" w:rsidRDefault="006117CC" w:rsidP="007576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1.388.500</w:t>
            </w:r>
          </w:p>
        </w:tc>
      </w:tr>
      <w:tr w:rsidR="00223B59" w:rsidRPr="00D22CB7" w:rsidTr="007C12CE">
        <w:tc>
          <w:tcPr>
            <w:tcW w:w="717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2CB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23" w:type="dxa"/>
            <w:shd w:val="clear" w:color="auto" w:fill="auto"/>
            <w:vAlign w:val="bottom"/>
          </w:tcPr>
          <w:p w:rsidR="00223B59" w:rsidRDefault="00223B59" w:rsidP="00757665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Програм 15</w:t>
            </w:r>
            <w:r w:rsidRPr="00D22CB7">
              <w:rPr>
                <w:iCs/>
                <w:color w:val="000000"/>
                <w:sz w:val="20"/>
                <w:szCs w:val="20"/>
              </w:rPr>
              <w:t xml:space="preserve"> –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 Опште услуге лс</w:t>
            </w:r>
          </w:p>
          <w:p w:rsidR="00223B59" w:rsidRPr="00D22CB7" w:rsidRDefault="00223B59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  <w:r w:rsidR="00976653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функц .кл. 133 – </w:t>
            </w:r>
            <w:r w:rsidRPr="00D22CB7">
              <w:rPr>
                <w:b/>
                <w:i/>
                <w:iCs/>
                <w:color w:val="000000"/>
                <w:sz w:val="20"/>
                <w:szCs w:val="20"/>
              </w:rPr>
              <w:t>Опште услуге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23B59" w:rsidRPr="00E22A66" w:rsidRDefault="00223B59" w:rsidP="00757665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215.860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3B59" w:rsidRPr="00CF3CAA" w:rsidRDefault="00223B59" w:rsidP="00757665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230.951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FD72AF" w:rsidRDefault="00223B59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23B59" w:rsidRPr="00D22CB7" w:rsidTr="007C12CE">
        <w:tc>
          <w:tcPr>
            <w:tcW w:w="717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bottom"/>
          </w:tcPr>
          <w:p w:rsidR="00223B59" w:rsidRPr="00CF3CAA" w:rsidRDefault="00223B59" w:rsidP="00757665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  <w:r w:rsidR="00976653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Cs/>
                <w:color w:val="000000"/>
                <w:sz w:val="20"/>
                <w:szCs w:val="20"/>
              </w:rPr>
              <w:t>пројекти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23B59" w:rsidRPr="00CF3CAA" w:rsidRDefault="00223B59" w:rsidP="00757665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3B59" w:rsidRDefault="00223B59" w:rsidP="00757665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6.920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19174A" w:rsidRDefault="00223B59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23B59" w:rsidRPr="00D22CB7" w:rsidTr="007C12CE">
        <w:tc>
          <w:tcPr>
            <w:tcW w:w="717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bottom"/>
          </w:tcPr>
          <w:p w:rsidR="00223B59" w:rsidRPr="00D22CB7" w:rsidRDefault="00223B59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>функц. кл. 170 - Т</w:t>
            </w:r>
            <w:r w:rsidRPr="00D22CB7">
              <w:rPr>
                <w:b/>
                <w:i/>
                <w:iCs/>
                <w:color w:val="000000"/>
                <w:sz w:val="20"/>
                <w:szCs w:val="20"/>
              </w:rPr>
              <w:t>рансак јавног дуга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23B59" w:rsidRPr="00E22A66" w:rsidRDefault="00223B59" w:rsidP="00757665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51.000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3B59" w:rsidRPr="00CF3CAA" w:rsidRDefault="00223B59" w:rsidP="00757665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51.000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3364CE" w:rsidRDefault="00223B59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23B59" w:rsidRPr="00D22CB7" w:rsidTr="007C12CE">
        <w:tc>
          <w:tcPr>
            <w:tcW w:w="717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bottom"/>
          </w:tcPr>
          <w:p w:rsidR="00223B59" w:rsidRDefault="00223B59" w:rsidP="00757665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функц.кл. 620- </w:t>
            </w:r>
            <w:r w:rsidRPr="00D22CB7">
              <w:rPr>
                <w:b/>
                <w:i/>
                <w:iCs/>
                <w:color w:val="000000"/>
                <w:sz w:val="20"/>
                <w:szCs w:val="20"/>
              </w:rPr>
              <w:t>Развој заједнице</w:t>
            </w:r>
          </w:p>
          <w:p w:rsidR="00223B59" w:rsidRPr="00936187" w:rsidRDefault="00223B59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36187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9766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6187">
              <w:rPr>
                <w:i/>
                <w:iCs/>
                <w:color w:val="000000"/>
                <w:sz w:val="20"/>
                <w:szCs w:val="20"/>
              </w:rPr>
              <w:t>Пројектна документ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23B59" w:rsidRPr="00936187" w:rsidRDefault="00223B59" w:rsidP="00757665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3B59" w:rsidRPr="00867B85" w:rsidRDefault="00223B59" w:rsidP="00757665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21.884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645235" w:rsidRDefault="00223B59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23B59" w:rsidRPr="00D22CB7" w:rsidTr="007C12CE">
        <w:tc>
          <w:tcPr>
            <w:tcW w:w="717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bottom"/>
          </w:tcPr>
          <w:p w:rsidR="00223B59" w:rsidRPr="00D22CB7" w:rsidRDefault="00223B59" w:rsidP="00757665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/>
                <w:iCs/>
                <w:color w:val="000000"/>
                <w:sz w:val="20"/>
                <w:szCs w:val="20"/>
              </w:rPr>
              <w:t>Средства резерви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23B59" w:rsidRPr="00E22A66" w:rsidRDefault="00223B59" w:rsidP="00757665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24.000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3B59" w:rsidRPr="00043DB9" w:rsidRDefault="00223B59" w:rsidP="00757665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27.000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645235" w:rsidRDefault="00223B59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23B59" w:rsidRPr="00D22CB7" w:rsidTr="007C12CE">
        <w:tc>
          <w:tcPr>
            <w:tcW w:w="717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bottom"/>
          </w:tcPr>
          <w:p w:rsidR="00223B59" w:rsidRPr="00D22CB7" w:rsidRDefault="00223B59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 функц.кл  220 - </w:t>
            </w:r>
            <w:r w:rsidRPr="00D22CB7">
              <w:rPr>
                <w:b/>
                <w:i/>
                <w:iCs/>
                <w:color w:val="000000"/>
                <w:sz w:val="20"/>
                <w:szCs w:val="20"/>
              </w:rPr>
              <w:t>Цивилна одбрана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23B59" w:rsidRPr="00B72800" w:rsidRDefault="00223B59" w:rsidP="00757665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3B59" w:rsidRPr="00054335" w:rsidRDefault="00223B59" w:rsidP="00757665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645235" w:rsidRDefault="00223B59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23B59" w:rsidRPr="00D22CB7" w:rsidTr="007C12CE">
        <w:tc>
          <w:tcPr>
            <w:tcW w:w="717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bottom"/>
          </w:tcPr>
          <w:p w:rsidR="00223B59" w:rsidRPr="00D22CB7" w:rsidRDefault="00223B59" w:rsidP="00757665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Програм 1 - Стан, урбан и пр пл</w:t>
            </w:r>
          </w:p>
          <w:p w:rsidR="00223B59" w:rsidRDefault="00223B59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9766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>Земљиште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</w:t>
            </w:r>
          </w:p>
          <w:p w:rsidR="00223B59" w:rsidRPr="00276A0B" w:rsidRDefault="00223B59" w:rsidP="00BD22A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9766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Одржавње зграда               </w:t>
            </w:r>
          </w:p>
        </w:tc>
        <w:tc>
          <w:tcPr>
            <w:tcW w:w="1350" w:type="dxa"/>
            <w:shd w:val="clear" w:color="auto" w:fill="auto"/>
          </w:tcPr>
          <w:p w:rsidR="00223B59" w:rsidRPr="00276A0B" w:rsidRDefault="00223B59" w:rsidP="007C12C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24.000</w:t>
            </w:r>
          </w:p>
        </w:tc>
        <w:tc>
          <w:tcPr>
            <w:tcW w:w="1890" w:type="dxa"/>
            <w:shd w:val="clear" w:color="auto" w:fill="auto"/>
          </w:tcPr>
          <w:p w:rsidR="00223B59" w:rsidRPr="00E654E3" w:rsidRDefault="00223B59" w:rsidP="007C12C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66.951</w:t>
            </w:r>
          </w:p>
        </w:tc>
        <w:tc>
          <w:tcPr>
            <w:tcW w:w="1260" w:type="dxa"/>
            <w:shd w:val="clear" w:color="auto" w:fill="auto"/>
          </w:tcPr>
          <w:p w:rsidR="00223B59" w:rsidRPr="002B6B34" w:rsidRDefault="00223B59" w:rsidP="007C12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23B59" w:rsidRPr="00D22CB7" w:rsidTr="007C12CE">
        <w:tc>
          <w:tcPr>
            <w:tcW w:w="717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223B59" w:rsidRPr="00D22CB7" w:rsidRDefault="00223B59" w:rsidP="00757665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Програм 2 - Комунална делатн.</w:t>
            </w:r>
          </w:p>
          <w:p w:rsidR="00223B59" w:rsidRPr="009E1DD5" w:rsidRDefault="00223B59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 xml:space="preserve">-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Јавно осветљење 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:rsidR="00223B59" w:rsidRPr="009E1DD5" w:rsidRDefault="00223B59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- Одрж. зелен површ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  <w:p w:rsidR="00223B59" w:rsidRDefault="00223B59" w:rsidP="00757665">
            <w:pPr>
              <w:rPr>
                <w:i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934AB0">
              <w:rPr>
                <w:i/>
                <w:sz w:val="20"/>
                <w:szCs w:val="20"/>
              </w:rPr>
              <w:t>Одржавање чистоће</w:t>
            </w:r>
            <w:r>
              <w:rPr>
                <w:i/>
                <w:sz w:val="20"/>
                <w:szCs w:val="20"/>
              </w:rPr>
              <w:t xml:space="preserve">            </w:t>
            </w:r>
          </w:p>
          <w:p w:rsidR="00223B59" w:rsidRPr="00934AB0" w:rsidRDefault="00223B59" w:rsidP="007576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CB005C">
              <w:rPr>
                <w:i/>
                <w:sz w:val="20"/>
                <w:szCs w:val="20"/>
              </w:rPr>
              <w:t xml:space="preserve"> </w:t>
            </w:r>
            <w:r w:rsidRPr="00316E96">
              <w:rPr>
                <w:i/>
                <w:sz w:val="20"/>
                <w:szCs w:val="20"/>
              </w:rPr>
              <w:t xml:space="preserve">Субвенције ЈКП          </w:t>
            </w:r>
          </w:p>
          <w:p w:rsidR="00223B59" w:rsidRDefault="00223B59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34AB0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CB005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Зоохигијена           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:rsidR="00223B59" w:rsidRPr="00010D9E" w:rsidRDefault="00223B59" w:rsidP="00BD22A8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CB005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Водоснабдевање                   </w:t>
            </w:r>
          </w:p>
        </w:tc>
        <w:tc>
          <w:tcPr>
            <w:tcW w:w="1350" w:type="dxa"/>
            <w:shd w:val="clear" w:color="auto" w:fill="auto"/>
          </w:tcPr>
          <w:p w:rsidR="00223B59" w:rsidRPr="006A094F" w:rsidRDefault="00223B59" w:rsidP="007C12C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89.290</w:t>
            </w:r>
          </w:p>
        </w:tc>
        <w:tc>
          <w:tcPr>
            <w:tcW w:w="1890" w:type="dxa"/>
            <w:shd w:val="clear" w:color="auto" w:fill="auto"/>
          </w:tcPr>
          <w:p w:rsidR="00223B59" w:rsidRPr="00E167E7" w:rsidRDefault="00223B59" w:rsidP="007C12C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102.880</w:t>
            </w:r>
          </w:p>
        </w:tc>
        <w:tc>
          <w:tcPr>
            <w:tcW w:w="1260" w:type="dxa"/>
            <w:shd w:val="clear" w:color="auto" w:fill="auto"/>
          </w:tcPr>
          <w:p w:rsidR="00223B59" w:rsidRPr="00645235" w:rsidRDefault="00223B59" w:rsidP="007C12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23B59" w:rsidRPr="00D22CB7" w:rsidTr="00AE1C53">
        <w:tc>
          <w:tcPr>
            <w:tcW w:w="717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223B59" w:rsidRPr="004B7BCB" w:rsidRDefault="00223B59" w:rsidP="00757665">
            <w:pPr>
              <w:rPr>
                <w:iCs/>
                <w:color w:val="000000"/>
                <w:sz w:val="20"/>
                <w:szCs w:val="20"/>
              </w:rPr>
            </w:pPr>
            <w:r w:rsidRPr="004B7BCB">
              <w:rPr>
                <w:iCs/>
                <w:color w:val="000000"/>
                <w:sz w:val="20"/>
                <w:szCs w:val="20"/>
              </w:rPr>
              <w:t>Пројекат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B7BCB">
              <w:rPr>
                <w:iCs/>
                <w:color w:val="000000"/>
                <w:sz w:val="20"/>
                <w:szCs w:val="20"/>
              </w:rPr>
              <w:t>-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B7BCB">
              <w:rPr>
                <w:iCs/>
                <w:color w:val="000000"/>
                <w:sz w:val="20"/>
                <w:szCs w:val="20"/>
              </w:rPr>
              <w:t>поб енергетске ефик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23B59" w:rsidRPr="004B7BCB" w:rsidRDefault="00223B59" w:rsidP="00757665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23B59" w:rsidRPr="004B7BCB" w:rsidRDefault="00223B59" w:rsidP="00757665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B7BCB">
              <w:rPr>
                <w:iCs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645235" w:rsidRDefault="00223B59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23B59" w:rsidRPr="00D22CB7" w:rsidTr="007C12CE">
        <w:tc>
          <w:tcPr>
            <w:tcW w:w="717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bottom"/>
          </w:tcPr>
          <w:p w:rsidR="00223B59" w:rsidRPr="00D22CB7" w:rsidRDefault="00223B59" w:rsidP="00757665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Програм 3 – Локални екон развој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23B59" w:rsidRPr="00B72800" w:rsidRDefault="00223B59" w:rsidP="00757665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16.000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3B59" w:rsidRPr="00054335" w:rsidRDefault="00223B59" w:rsidP="00757665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16.000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7E2781" w:rsidRDefault="00223B59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23B59" w:rsidRPr="00D22CB7" w:rsidTr="007C12CE">
        <w:tc>
          <w:tcPr>
            <w:tcW w:w="717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bottom"/>
          </w:tcPr>
          <w:p w:rsidR="00223B59" w:rsidRPr="00D22CB7" w:rsidRDefault="00223B59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Програм 4 – Развој туризма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23B59" w:rsidRPr="00252137" w:rsidRDefault="00223B59" w:rsidP="00757665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3.670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3B59" w:rsidRPr="00DA6304" w:rsidRDefault="00223B59" w:rsidP="00757665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3.670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252137" w:rsidRDefault="00223B59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23B59" w:rsidRPr="00D22CB7" w:rsidTr="00AE1C53">
        <w:tc>
          <w:tcPr>
            <w:tcW w:w="717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bottom"/>
          </w:tcPr>
          <w:p w:rsidR="00223B59" w:rsidRPr="00D22CB7" w:rsidRDefault="00223B59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>Пројекат 1- Визиторски центар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23B59" w:rsidRPr="005A4556" w:rsidRDefault="005A4556" w:rsidP="0075766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3B59" w:rsidRPr="00DA6304" w:rsidRDefault="00223B59" w:rsidP="0075766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(13)   8.000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7E2781" w:rsidRDefault="00223B59" w:rsidP="007576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B59" w:rsidRPr="00D22CB7" w:rsidRDefault="00223B59" w:rsidP="0075766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D5215" w:rsidRPr="00D22CB7" w:rsidTr="003F0811">
        <w:tc>
          <w:tcPr>
            <w:tcW w:w="717" w:type="dxa"/>
            <w:shd w:val="clear" w:color="auto" w:fill="auto"/>
            <w:vAlign w:val="center"/>
          </w:tcPr>
          <w:p w:rsidR="007D5215" w:rsidRPr="00D22CB7" w:rsidRDefault="007D5215" w:rsidP="003F0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7D5215" w:rsidRPr="00D22CB7" w:rsidRDefault="007D5215" w:rsidP="003F0811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Програм 5 - Развој пољопривреде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5215" w:rsidRPr="00B72800" w:rsidRDefault="007D5215" w:rsidP="003F0811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D5215" w:rsidRPr="00054335" w:rsidRDefault="007D5215" w:rsidP="003F0811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215" w:rsidRPr="0063206A" w:rsidRDefault="007D5215" w:rsidP="003F08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215" w:rsidRPr="00D22CB7" w:rsidRDefault="007D5215" w:rsidP="003F081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5215" w:rsidRPr="00D22CB7" w:rsidRDefault="007D5215" w:rsidP="003F081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E0902" w:rsidRPr="00D22CB7" w:rsidTr="007C12CE">
        <w:tc>
          <w:tcPr>
            <w:tcW w:w="717" w:type="dxa"/>
            <w:shd w:val="clear" w:color="auto" w:fill="auto"/>
            <w:vAlign w:val="center"/>
          </w:tcPr>
          <w:p w:rsidR="008E0902" w:rsidRPr="00D22CB7" w:rsidRDefault="008E0902" w:rsidP="003F081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8E0902" w:rsidRPr="00D22CB7" w:rsidRDefault="008E0902" w:rsidP="003F0811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Програм 6 - Заштита жив средине</w:t>
            </w:r>
          </w:p>
          <w:p w:rsidR="008E0902" w:rsidRPr="00D22CB7" w:rsidRDefault="008E0902" w:rsidP="003F0811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-</w:t>
            </w:r>
            <w:r w:rsidR="00511F21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Израда студије за унапређ ком    инфрастуктуре                      </w:t>
            </w:r>
          </w:p>
          <w:p w:rsidR="008E0902" w:rsidRPr="00D22CB7" w:rsidRDefault="008E0902" w:rsidP="003F0811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-</w:t>
            </w:r>
            <w:r w:rsidR="00511F21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Чишћење Деспотовице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    </w:t>
            </w:r>
          </w:p>
          <w:p w:rsidR="008E0902" w:rsidRDefault="008E0902" w:rsidP="003F081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511F2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Пројекти фек канал      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8E0902" w:rsidRPr="000350BB" w:rsidRDefault="008E0902" w:rsidP="003F081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511F2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Пројекти                                  </w:t>
            </w:r>
          </w:p>
        </w:tc>
        <w:tc>
          <w:tcPr>
            <w:tcW w:w="1350" w:type="dxa"/>
            <w:shd w:val="clear" w:color="auto" w:fill="auto"/>
          </w:tcPr>
          <w:p w:rsidR="008E0902" w:rsidRPr="000350BB" w:rsidRDefault="008E0902" w:rsidP="007C12C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6.120</w:t>
            </w:r>
          </w:p>
        </w:tc>
        <w:tc>
          <w:tcPr>
            <w:tcW w:w="1890" w:type="dxa"/>
            <w:shd w:val="clear" w:color="auto" w:fill="auto"/>
          </w:tcPr>
          <w:p w:rsidR="008E0902" w:rsidRPr="0076475A" w:rsidRDefault="008E0902" w:rsidP="007C12C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6.120</w:t>
            </w:r>
          </w:p>
        </w:tc>
        <w:tc>
          <w:tcPr>
            <w:tcW w:w="1260" w:type="dxa"/>
            <w:shd w:val="clear" w:color="auto" w:fill="auto"/>
          </w:tcPr>
          <w:p w:rsidR="008E0902" w:rsidRPr="00F0159E" w:rsidRDefault="008E0902" w:rsidP="007C12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0902" w:rsidRPr="00D22CB7" w:rsidRDefault="008E0902" w:rsidP="003F081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0902" w:rsidRPr="00D22CB7" w:rsidRDefault="008E0902" w:rsidP="003F081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A48FF" w:rsidRPr="00D22CB7" w:rsidTr="003F0811">
        <w:tc>
          <w:tcPr>
            <w:tcW w:w="717" w:type="dxa"/>
            <w:shd w:val="clear" w:color="auto" w:fill="auto"/>
            <w:vAlign w:val="center"/>
          </w:tcPr>
          <w:p w:rsidR="000A48FF" w:rsidRPr="00D22CB7" w:rsidRDefault="000A48FF" w:rsidP="003F081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0A48FF" w:rsidRPr="00BA0441" w:rsidRDefault="000A48FF" w:rsidP="003F08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A0441">
              <w:rPr>
                <w:b/>
                <w:i/>
                <w:iCs/>
                <w:color w:val="000000"/>
                <w:sz w:val="20"/>
                <w:szCs w:val="20"/>
              </w:rPr>
              <w:t>Пројекат</w:t>
            </w:r>
            <w:r w:rsidRPr="00BA0441">
              <w:rPr>
                <w:i/>
                <w:iCs/>
                <w:color w:val="000000"/>
                <w:sz w:val="20"/>
                <w:szCs w:val="20"/>
              </w:rPr>
              <w:t xml:space="preserve"> – Систем за пречишћ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48FF" w:rsidRPr="00C673E6" w:rsidRDefault="000A48FF" w:rsidP="003F081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48FF" w:rsidRPr="00BA0441" w:rsidRDefault="000A48FF" w:rsidP="003F081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0441">
              <w:rPr>
                <w:i/>
                <w:iCs/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48FF" w:rsidRPr="00F0159E" w:rsidRDefault="000A48FF" w:rsidP="003F08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48FF" w:rsidRPr="00D22CB7" w:rsidRDefault="000A48FF" w:rsidP="003F081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A48FF" w:rsidRPr="00D22CB7" w:rsidRDefault="000A48FF" w:rsidP="003F081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A48FF" w:rsidRPr="00D22CB7" w:rsidTr="007C12CE">
        <w:tc>
          <w:tcPr>
            <w:tcW w:w="717" w:type="dxa"/>
            <w:shd w:val="clear" w:color="auto" w:fill="auto"/>
            <w:vAlign w:val="center"/>
          </w:tcPr>
          <w:p w:rsidR="000A48FF" w:rsidRPr="00D22CB7" w:rsidRDefault="000A48FF" w:rsidP="003F081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0A48FF" w:rsidRPr="00D22CB7" w:rsidRDefault="000A48FF" w:rsidP="003F0811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Програм 6 - Заштита жив средине</w:t>
            </w:r>
          </w:p>
          <w:p w:rsidR="000A48FF" w:rsidRPr="00511F21" w:rsidRDefault="00511F21" w:rsidP="00511F21">
            <w:pPr>
              <w:rPr>
                <w:i/>
                <w:sz w:val="20"/>
                <w:szCs w:val="20"/>
                <w:lang w:val="sr-Cyrl-CS"/>
              </w:rPr>
            </w:pPr>
            <w:r w:rsidRPr="00511F21">
              <w:rPr>
                <w:i/>
                <w:sz w:val="20"/>
                <w:szCs w:val="20"/>
                <w:lang w:val="sr-Cyrl-CS"/>
              </w:rPr>
              <w:t>-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0A48FF" w:rsidRPr="00511F21">
              <w:rPr>
                <w:i/>
                <w:sz w:val="20"/>
                <w:szCs w:val="20"/>
                <w:lang w:val="sr-Cyrl-CS"/>
              </w:rPr>
              <w:t>Фонд за заштиту</w:t>
            </w:r>
          </w:p>
          <w:p w:rsidR="000A48FF" w:rsidRPr="00B72800" w:rsidRDefault="000A48FF" w:rsidP="003F0811">
            <w:pPr>
              <w:rPr>
                <w:i/>
                <w:sz w:val="20"/>
                <w:szCs w:val="20"/>
                <w:lang w:val="sr-Cyrl-CS"/>
              </w:rPr>
            </w:pPr>
            <w:r w:rsidRPr="00B72800">
              <w:rPr>
                <w:i/>
                <w:sz w:val="20"/>
                <w:szCs w:val="20"/>
                <w:lang w:val="sr-Cyrl-CS"/>
              </w:rPr>
              <w:t xml:space="preserve"> животне средине</w:t>
            </w:r>
            <w:r>
              <w:rPr>
                <w:i/>
                <w:sz w:val="20"/>
                <w:szCs w:val="20"/>
                <w:lang w:val="sr-Cyrl-CS"/>
              </w:rPr>
              <w:t xml:space="preserve">                      </w:t>
            </w:r>
          </w:p>
        </w:tc>
        <w:tc>
          <w:tcPr>
            <w:tcW w:w="1350" w:type="dxa"/>
            <w:shd w:val="clear" w:color="auto" w:fill="auto"/>
          </w:tcPr>
          <w:p w:rsidR="000A48FF" w:rsidRPr="00F24E0B" w:rsidRDefault="000A48FF" w:rsidP="007C12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16.400</w:t>
            </w:r>
          </w:p>
        </w:tc>
        <w:tc>
          <w:tcPr>
            <w:tcW w:w="1890" w:type="dxa"/>
            <w:shd w:val="clear" w:color="auto" w:fill="auto"/>
          </w:tcPr>
          <w:p w:rsidR="000A48FF" w:rsidRPr="00DA6304" w:rsidRDefault="000A48FF" w:rsidP="007C12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19.400</w:t>
            </w:r>
          </w:p>
        </w:tc>
        <w:tc>
          <w:tcPr>
            <w:tcW w:w="1260" w:type="dxa"/>
            <w:shd w:val="clear" w:color="auto" w:fill="auto"/>
          </w:tcPr>
          <w:p w:rsidR="000A48FF" w:rsidRPr="00F0159E" w:rsidRDefault="000A48FF" w:rsidP="007C12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48FF" w:rsidRPr="00D22CB7" w:rsidRDefault="000A48FF" w:rsidP="003F081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A48FF" w:rsidRPr="00D22CB7" w:rsidRDefault="000A48FF" w:rsidP="003F081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35450" w:rsidRPr="00D22CB7" w:rsidTr="007C12CE">
        <w:tc>
          <w:tcPr>
            <w:tcW w:w="717" w:type="dxa"/>
            <w:shd w:val="clear" w:color="auto" w:fill="auto"/>
            <w:vAlign w:val="center"/>
          </w:tcPr>
          <w:p w:rsidR="00835450" w:rsidRPr="00D22CB7" w:rsidRDefault="00835450" w:rsidP="003F081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835450" w:rsidRPr="00D22CB7" w:rsidRDefault="00835450" w:rsidP="003F0811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Програм 7 - Саобраћај и саобр.инфрасруктура</w:t>
            </w:r>
          </w:p>
          <w:p w:rsidR="00835450" w:rsidRPr="00566F24" w:rsidRDefault="00835450" w:rsidP="003F08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29126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локални путеви         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  <w:p w:rsidR="00835450" w:rsidRPr="00566F24" w:rsidRDefault="00835450" w:rsidP="003F08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29126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некатегорисани путеви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:rsidR="00835450" w:rsidRPr="00566F24" w:rsidRDefault="00835450" w:rsidP="003F08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29126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улице                        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 </w:t>
            </w:r>
          </w:p>
          <w:p w:rsidR="00835450" w:rsidRPr="00205FBB" w:rsidRDefault="00835450" w:rsidP="003F08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29126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субв ЈП за изградњу 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835450" w:rsidRPr="00566F24" w:rsidRDefault="00835450" w:rsidP="003F08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29126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зимска служба          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835450" w:rsidRPr="00566F24" w:rsidRDefault="00835450" w:rsidP="003F08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29126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одржавање путева и улица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835450" w:rsidRPr="005B1AA4" w:rsidRDefault="00835450" w:rsidP="003F08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29126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сигнализација       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</w:tcPr>
          <w:p w:rsidR="00835450" w:rsidRDefault="00835450" w:rsidP="007C12C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       185.620</w:t>
            </w:r>
          </w:p>
          <w:p w:rsidR="00835450" w:rsidRDefault="00835450" w:rsidP="007C12C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  <w:p w:rsidR="00835450" w:rsidRPr="007C12CE" w:rsidRDefault="00835450" w:rsidP="007C12C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C12CE">
              <w:rPr>
                <w:i/>
                <w:iCs/>
                <w:color w:val="000000"/>
                <w:sz w:val="20"/>
                <w:szCs w:val="20"/>
              </w:rPr>
              <w:t>(01) 171.620</w:t>
            </w:r>
          </w:p>
          <w:p w:rsidR="00835450" w:rsidRPr="001073A3" w:rsidRDefault="00835450" w:rsidP="007C12C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7C12CE">
              <w:rPr>
                <w:i/>
                <w:iCs/>
                <w:color w:val="000000"/>
                <w:sz w:val="20"/>
                <w:szCs w:val="20"/>
              </w:rPr>
              <w:t>(08)   14.000</w:t>
            </w:r>
          </w:p>
        </w:tc>
        <w:tc>
          <w:tcPr>
            <w:tcW w:w="1890" w:type="dxa"/>
            <w:shd w:val="clear" w:color="auto" w:fill="auto"/>
          </w:tcPr>
          <w:p w:rsidR="00835450" w:rsidRPr="007C12CE" w:rsidRDefault="00835450" w:rsidP="007C12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C12CE">
              <w:rPr>
                <w:b/>
                <w:color w:val="000000"/>
                <w:sz w:val="20"/>
                <w:szCs w:val="20"/>
              </w:rPr>
              <w:t>251.017</w:t>
            </w:r>
          </w:p>
          <w:p w:rsidR="00835450" w:rsidRPr="007C12CE" w:rsidRDefault="00835450" w:rsidP="007C12C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35450" w:rsidRPr="007C12CE" w:rsidRDefault="00835450" w:rsidP="007C12CE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C12CE">
              <w:rPr>
                <w:i/>
                <w:color w:val="000000"/>
                <w:sz w:val="20"/>
                <w:szCs w:val="20"/>
              </w:rPr>
              <w:t>(01) 175.205</w:t>
            </w:r>
          </w:p>
          <w:p w:rsidR="00835450" w:rsidRPr="007C12CE" w:rsidRDefault="00835450" w:rsidP="007C12CE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C12CE">
              <w:rPr>
                <w:i/>
                <w:color w:val="000000"/>
                <w:sz w:val="20"/>
                <w:szCs w:val="20"/>
              </w:rPr>
              <w:t>(08)   14.000</w:t>
            </w:r>
          </w:p>
          <w:p w:rsidR="00835450" w:rsidRPr="007C12CE" w:rsidRDefault="00835450" w:rsidP="007C12CE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C12CE">
              <w:rPr>
                <w:i/>
                <w:color w:val="000000"/>
                <w:sz w:val="20"/>
                <w:szCs w:val="20"/>
              </w:rPr>
              <w:t>(13)   61.298</w:t>
            </w:r>
          </w:p>
          <w:p w:rsidR="00835450" w:rsidRPr="007C12CE" w:rsidRDefault="00835450" w:rsidP="007C12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C12CE">
              <w:rPr>
                <w:i/>
                <w:color w:val="000000"/>
                <w:sz w:val="20"/>
                <w:szCs w:val="20"/>
              </w:rPr>
              <w:t>(15)        514</w:t>
            </w:r>
          </w:p>
        </w:tc>
        <w:tc>
          <w:tcPr>
            <w:tcW w:w="1260" w:type="dxa"/>
            <w:shd w:val="clear" w:color="auto" w:fill="auto"/>
          </w:tcPr>
          <w:p w:rsidR="00835450" w:rsidRPr="00F0159E" w:rsidRDefault="00835450" w:rsidP="007C12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5450" w:rsidRPr="00D22CB7" w:rsidRDefault="00835450" w:rsidP="003F081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35450" w:rsidRPr="00D22CB7" w:rsidRDefault="00835450" w:rsidP="003F081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64BC0" w:rsidRPr="00D22CB7" w:rsidTr="007C12CE">
        <w:tc>
          <w:tcPr>
            <w:tcW w:w="717" w:type="dxa"/>
            <w:shd w:val="clear" w:color="auto" w:fill="auto"/>
            <w:vAlign w:val="center"/>
          </w:tcPr>
          <w:p w:rsidR="00B64BC0" w:rsidRPr="00D22CB7" w:rsidRDefault="00B64BC0" w:rsidP="003F081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B64BC0" w:rsidRDefault="00B64BC0" w:rsidP="003F0811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Програм 8 – Предшколско образов</w:t>
            </w:r>
          </w:p>
          <w:p w:rsidR="00B64BC0" w:rsidRPr="00D22CB7" w:rsidRDefault="00B64BC0" w:rsidP="003F0811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Пројекат –</w:t>
            </w:r>
            <w:r w:rsidR="0029126C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1B3E99">
              <w:rPr>
                <w:i/>
                <w:sz w:val="20"/>
                <w:szCs w:val="20"/>
                <w:lang w:val="sr-Cyrl-CS"/>
              </w:rPr>
              <w:t>Доградња вртића</w:t>
            </w:r>
          </w:p>
        </w:tc>
        <w:tc>
          <w:tcPr>
            <w:tcW w:w="1350" w:type="dxa"/>
            <w:shd w:val="clear" w:color="auto" w:fill="auto"/>
          </w:tcPr>
          <w:p w:rsidR="00B64BC0" w:rsidRPr="007C12CE" w:rsidRDefault="007C12CE" w:rsidP="007C12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B64BC0" w:rsidRPr="007C12CE" w:rsidRDefault="00B64BC0" w:rsidP="007C12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C12CE">
              <w:rPr>
                <w:b/>
                <w:color w:val="000000"/>
                <w:sz w:val="20"/>
                <w:szCs w:val="20"/>
              </w:rPr>
              <w:t>3.116</w:t>
            </w:r>
          </w:p>
        </w:tc>
        <w:tc>
          <w:tcPr>
            <w:tcW w:w="1260" w:type="dxa"/>
            <w:shd w:val="clear" w:color="auto" w:fill="auto"/>
          </w:tcPr>
          <w:p w:rsidR="00B64BC0" w:rsidRPr="00D22CB7" w:rsidRDefault="00B64BC0" w:rsidP="007C12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64BC0" w:rsidRPr="00D22CB7" w:rsidRDefault="00B64BC0" w:rsidP="003F081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64BC0" w:rsidRPr="00D22CB7" w:rsidRDefault="00B64BC0" w:rsidP="003F081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D188D" w:rsidRPr="00D22CB7" w:rsidTr="003F0811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3F081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AD188D" w:rsidRPr="00D22CB7" w:rsidRDefault="00AD188D" w:rsidP="003F0811">
            <w:pPr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Програм 9 - Основно образовање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D188D" w:rsidRPr="00480023" w:rsidRDefault="00AD188D" w:rsidP="003F081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79.000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D188D" w:rsidRPr="006711DC" w:rsidRDefault="00AD188D" w:rsidP="003F081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11DC">
              <w:rPr>
                <w:b/>
                <w:color w:val="000000"/>
                <w:sz w:val="20"/>
                <w:szCs w:val="20"/>
              </w:rPr>
              <w:t>81.515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F0159E" w:rsidRDefault="00AD188D" w:rsidP="003F08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3F081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3F081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D188D" w:rsidRPr="00D22CB7" w:rsidTr="007C12CE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3F081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AD188D" w:rsidRPr="001138A8" w:rsidRDefault="00AD188D" w:rsidP="003F0811">
            <w:pPr>
              <w:rPr>
                <w:i/>
                <w:sz w:val="20"/>
                <w:szCs w:val="20"/>
              </w:rPr>
            </w:pPr>
            <w:r w:rsidRPr="00D22CB7">
              <w:rPr>
                <w:b/>
                <w:i/>
                <w:sz w:val="20"/>
                <w:szCs w:val="20"/>
                <w:lang w:val="sr-Cyrl-CS"/>
              </w:rPr>
              <w:t xml:space="preserve">Пројекат </w:t>
            </w:r>
            <w:r w:rsidRPr="00D22CB7">
              <w:rPr>
                <w:b/>
                <w:i/>
                <w:sz w:val="20"/>
                <w:szCs w:val="20"/>
              </w:rPr>
              <w:t>1</w:t>
            </w:r>
            <w:r w:rsidRPr="00D22CB7">
              <w:rPr>
                <w:i/>
                <w:sz w:val="20"/>
                <w:szCs w:val="20"/>
                <w:lang w:val="sr-Cyrl-CS"/>
              </w:rPr>
              <w:t xml:space="preserve">: </w:t>
            </w:r>
            <w:r w:rsidRPr="00D22CB7">
              <w:rPr>
                <w:i/>
                <w:sz w:val="20"/>
                <w:szCs w:val="20"/>
              </w:rPr>
              <w:t>Tренинзи за развој когнитивних компетенција</w:t>
            </w:r>
            <w:r>
              <w:rPr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Pr="0089486A" w:rsidRDefault="00AD188D" w:rsidP="007C12CE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89486A">
              <w:rPr>
                <w:b/>
                <w:i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D188D" w:rsidRPr="006711DC" w:rsidRDefault="00AD188D" w:rsidP="007C12CE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6711DC">
              <w:rPr>
                <w:b/>
                <w:i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F0159E" w:rsidRDefault="00AD188D" w:rsidP="003F08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3F081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3F081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D188D" w:rsidRPr="00D22CB7" w:rsidTr="003F0811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3F081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AD188D" w:rsidRPr="0089486A" w:rsidRDefault="00AD188D" w:rsidP="003F081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sr-Cyrl-CS"/>
              </w:rPr>
              <w:t>Остали п</w:t>
            </w:r>
            <w:r w:rsidRPr="00D22CB7">
              <w:rPr>
                <w:b/>
                <w:i/>
                <w:sz w:val="20"/>
                <w:szCs w:val="20"/>
                <w:lang w:val="sr-Cyrl-CS"/>
              </w:rPr>
              <w:t>ројек</w:t>
            </w:r>
            <w:r>
              <w:rPr>
                <w:b/>
                <w:i/>
                <w:sz w:val="20"/>
                <w:szCs w:val="20"/>
                <w:lang w:val="sr-Cyrl-CS"/>
              </w:rPr>
              <w:t>ти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D188D" w:rsidRPr="000F77F7" w:rsidRDefault="00AD188D" w:rsidP="003F0811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D188D" w:rsidRPr="000D48C6" w:rsidRDefault="00AD188D" w:rsidP="003F0811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9.076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0F77F7" w:rsidRDefault="00AD188D" w:rsidP="003F08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0F77F7" w:rsidRDefault="00AD188D" w:rsidP="003F08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0F77F7" w:rsidRDefault="00AD188D" w:rsidP="003F08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D188D" w:rsidRPr="00D22CB7" w:rsidTr="003F0811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3F081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AD188D" w:rsidRPr="00D22CB7" w:rsidRDefault="00AD188D" w:rsidP="003F0811">
            <w:pPr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Програм 10 - Средње образовање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D188D" w:rsidRPr="001138A8" w:rsidRDefault="00AD188D" w:rsidP="003F081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36.000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D188D" w:rsidRPr="000D48C6" w:rsidRDefault="00AD188D" w:rsidP="003F081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36.550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F0159E" w:rsidRDefault="00AD188D" w:rsidP="003F08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3F081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3F081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D188D" w:rsidRPr="00D22CB7" w:rsidTr="007C12CE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AD188D" w:rsidRPr="00D22CB7" w:rsidRDefault="00AD188D" w:rsidP="00757665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Програм 11 - Соц и дечја заштита</w:t>
            </w:r>
          </w:p>
          <w:p w:rsidR="00AD188D" w:rsidRPr="00D22CB7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Cs/>
                <w:color w:val="000000"/>
                <w:sz w:val="20"/>
                <w:szCs w:val="20"/>
              </w:rPr>
              <w:t xml:space="preserve">-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Центар за соц рад                     </w:t>
            </w:r>
          </w:p>
          <w:p w:rsidR="00AD188D" w:rsidRPr="00D22CB7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- превоз </w:t>
            </w:r>
          </w:p>
          <w:p w:rsidR="00AD188D" w:rsidRPr="00D22CB7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- удружења                                                                                                          </w:t>
            </w:r>
          </w:p>
          <w:p w:rsidR="00AD188D" w:rsidRPr="00D22CB7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- Црвени крст   </w:t>
            </w:r>
          </w:p>
          <w:p w:rsidR="00AD188D" w:rsidRPr="00D22CB7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- инклузија                                </w:t>
            </w:r>
          </w:p>
          <w:p w:rsidR="00AD188D" w:rsidRPr="00D22CB7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- подршка рађању                    </w:t>
            </w:r>
          </w:p>
          <w:p w:rsidR="00AD188D" w:rsidRPr="00D22CB7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- геронтодомаћице                 </w:t>
            </w:r>
          </w:p>
          <w:p w:rsidR="00AD188D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- вантелесна оплодња    </w:t>
            </w:r>
          </w:p>
          <w:p w:rsidR="00AD188D" w:rsidRPr="00D22CB7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29126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подр избеглим и расељ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          </w:t>
            </w:r>
          </w:p>
          <w:p w:rsidR="00AD188D" w:rsidRPr="00D22CB7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- стипендије                               </w:t>
            </w:r>
          </w:p>
          <w:p w:rsidR="00AD188D" w:rsidRPr="00940BD5" w:rsidRDefault="00AD188D" w:rsidP="00940BD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- изгр. Центра за соц  </w:t>
            </w:r>
            <w:r>
              <w:rPr>
                <w:i/>
                <w:iCs/>
                <w:color w:val="000000"/>
                <w:sz w:val="20"/>
                <w:szCs w:val="20"/>
              </w:rPr>
              <w:t>рад</w:t>
            </w:r>
          </w:p>
        </w:tc>
        <w:tc>
          <w:tcPr>
            <w:tcW w:w="1350" w:type="dxa"/>
            <w:shd w:val="clear" w:color="auto" w:fill="auto"/>
          </w:tcPr>
          <w:p w:rsidR="00AD188D" w:rsidRDefault="00AD188D" w:rsidP="007C12C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136.520</w:t>
            </w:r>
          </w:p>
          <w:p w:rsidR="007C12CE" w:rsidRDefault="007C12CE" w:rsidP="007C12C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  <w:p w:rsidR="00AD188D" w:rsidRPr="007C12CE" w:rsidRDefault="00AD188D" w:rsidP="007C12C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C12CE">
              <w:rPr>
                <w:i/>
                <w:iCs/>
                <w:color w:val="000000"/>
                <w:sz w:val="20"/>
                <w:szCs w:val="20"/>
              </w:rPr>
              <w:t>(01) 131.520</w:t>
            </w:r>
          </w:p>
          <w:p w:rsidR="00AD188D" w:rsidRPr="00E22A66" w:rsidRDefault="00AD188D" w:rsidP="007C12C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7C12CE">
              <w:rPr>
                <w:i/>
                <w:iCs/>
                <w:color w:val="000000"/>
                <w:sz w:val="20"/>
                <w:szCs w:val="20"/>
              </w:rPr>
              <w:t>(07)     5.000</w:t>
            </w:r>
          </w:p>
        </w:tc>
        <w:tc>
          <w:tcPr>
            <w:tcW w:w="1890" w:type="dxa"/>
            <w:shd w:val="clear" w:color="auto" w:fill="auto"/>
          </w:tcPr>
          <w:p w:rsidR="00AD188D" w:rsidRDefault="00AD188D" w:rsidP="007C12C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145.092</w:t>
            </w:r>
          </w:p>
          <w:p w:rsidR="007C12CE" w:rsidRDefault="007C12CE" w:rsidP="007C12C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  <w:p w:rsidR="00AD188D" w:rsidRPr="007C12CE" w:rsidRDefault="00AD188D" w:rsidP="007C12C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C12CE">
              <w:rPr>
                <w:i/>
                <w:iCs/>
                <w:color w:val="000000"/>
                <w:sz w:val="20"/>
                <w:szCs w:val="20"/>
              </w:rPr>
              <w:t>(01) 132.517</w:t>
            </w:r>
          </w:p>
          <w:p w:rsidR="00AD188D" w:rsidRPr="007C12CE" w:rsidRDefault="00AD188D" w:rsidP="007C12C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C12CE">
              <w:rPr>
                <w:i/>
                <w:iCs/>
                <w:color w:val="000000"/>
                <w:sz w:val="20"/>
                <w:szCs w:val="20"/>
              </w:rPr>
              <w:t>(07)     5.000</w:t>
            </w:r>
          </w:p>
          <w:p w:rsidR="00AD188D" w:rsidRPr="00E23DFB" w:rsidRDefault="00AD188D" w:rsidP="007C12C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7C12CE">
              <w:rPr>
                <w:i/>
                <w:iCs/>
                <w:color w:val="000000"/>
                <w:sz w:val="20"/>
                <w:szCs w:val="20"/>
              </w:rPr>
              <w:t>(13)     7.575</w:t>
            </w:r>
          </w:p>
        </w:tc>
        <w:tc>
          <w:tcPr>
            <w:tcW w:w="1260" w:type="dxa"/>
            <w:shd w:val="clear" w:color="auto" w:fill="auto"/>
          </w:tcPr>
          <w:p w:rsidR="00AD188D" w:rsidRPr="007C12CE" w:rsidRDefault="00397A84" w:rsidP="007C12C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7C12CE">
              <w:rPr>
                <w:b/>
                <w:iCs/>
                <w:color w:val="000000"/>
                <w:sz w:val="20"/>
                <w:szCs w:val="20"/>
              </w:rPr>
              <w:t xml:space="preserve">       </w:t>
            </w:r>
            <w:r w:rsidR="00AD188D" w:rsidRPr="007C12CE">
              <w:rPr>
                <w:b/>
                <w:iCs/>
                <w:color w:val="000000"/>
                <w:sz w:val="20"/>
                <w:szCs w:val="20"/>
              </w:rPr>
              <w:t>147.000</w:t>
            </w:r>
          </w:p>
          <w:p w:rsidR="007C12CE" w:rsidRPr="007C12CE" w:rsidRDefault="007C12CE" w:rsidP="007C12C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  <w:p w:rsidR="00397A84" w:rsidRPr="007C12CE" w:rsidRDefault="00397A84" w:rsidP="007C12C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C12CE">
              <w:rPr>
                <w:i/>
                <w:iCs/>
                <w:color w:val="000000"/>
                <w:sz w:val="20"/>
                <w:szCs w:val="20"/>
              </w:rPr>
              <w:t>(01) 132.000</w:t>
            </w:r>
          </w:p>
          <w:p w:rsidR="00397A84" w:rsidRPr="00397A84" w:rsidRDefault="00397A84" w:rsidP="007C12CE">
            <w:pPr>
              <w:jc w:val="right"/>
              <w:rPr>
                <w:b/>
                <w:sz w:val="20"/>
                <w:szCs w:val="20"/>
              </w:rPr>
            </w:pPr>
            <w:r w:rsidRPr="007C12CE">
              <w:rPr>
                <w:i/>
                <w:iCs/>
                <w:color w:val="000000"/>
                <w:sz w:val="20"/>
                <w:szCs w:val="20"/>
              </w:rPr>
              <w:t>(07)     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D188D" w:rsidRPr="00D22CB7" w:rsidTr="005331E3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AD188D" w:rsidRPr="00D22CB7" w:rsidRDefault="00AD188D" w:rsidP="00757665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Програм 12- Здравств. заштита</w:t>
            </w:r>
          </w:p>
          <w:p w:rsidR="00AD188D" w:rsidRPr="001138A8" w:rsidRDefault="00AD188D" w:rsidP="00205FB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-мртвозорство      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</w:tcPr>
          <w:p w:rsidR="00AD188D" w:rsidRPr="001138A8" w:rsidRDefault="00AD188D" w:rsidP="005331E3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9.200</w:t>
            </w:r>
          </w:p>
        </w:tc>
        <w:tc>
          <w:tcPr>
            <w:tcW w:w="1890" w:type="dxa"/>
            <w:shd w:val="clear" w:color="auto" w:fill="auto"/>
          </w:tcPr>
          <w:p w:rsidR="00AD188D" w:rsidRPr="00BA3607" w:rsidRDefault="00AD188D" w:rsidP="005331E3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10.007</w:t>
            </w:r>
          </w:p>
        </w:tc>
        <w:tc>
          <w:tcPr>
            <w:tcW w:w="1260" w:type="dxa"/>
            <w:shd w:val="clear" w:color="auto" w:fill="auto"/>
          </w:tcPr>
          <w:p w:rsidR="00AD188D" w:rsidRPr="0047586B" w:rsidRDefault="00AD188D" w:rsidP="005331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D188D" w:rsidRPr="00D22CB7" w:rsidTr="005331E3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bottom"/>
          </w:tcPr>
          <w:p w:rsidR="00AD188D" w:rsidRPr="00D22CB7" w:rsidRDefault="00AD188D" w:rsidP="00757665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Програм 13 - Развој културе и информисања</w:t>
            </w:r>
          </w:p>
          <w:p w:rsidR="00AD188D" w:rsidRPr="008F5C3C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D769D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Историјски архив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  <w:p w:rsidR="00AD188D" w:rsidRPr="008F5C3C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- КУД                       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:rsidR="00AD188D" w:rsidRPr="00E424A7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- Верске заједнице     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 </w:t>
            </w:r>
          </w:p>
          <w:p w:rsidR="00AD188D" w:rsidRPr="001138A8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D769D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Остала удружења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:rsidR="00AD188D" w:rsidRPr="00255ED6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D769D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Информ. –субвенције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  <w:p w:rsidR="00AD188D" w:rsidRPr="00D22CB7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D188D" w:rsidRPr="00BF0C0C" w:rsidRDefault="00AD188D" w:rsidP="005331E3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30.400</w:t>
            </w:r>
          </w:p>
        </w:tc>
        <w:tc>
          <w:tcPr>
            <w:tcW w:w="1890" w:type="dxa"/>
            <w:shd w:val="clear" w:color="auto" w:fill="auto"/>
          </w:tcPr>
          <w:p w:rsidR="00AD188D" w:rsidRPr="000E5BEC" w:rsidRDefault="00AD188D" w:rsidP="005331E3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30.990</w:t>
            </w:r>
          </w:p>
        </w:tc>
        <w:tc>
          <w:tcPr>
            <w:tcW w:w="1260" w:type="dxa"/>
            <w:shd w:val="clear" w:color="auto" w:fill="auto"/>
          </w:tcPr>
          <w:p w:rsidR="00AD188D" w:rsidRPr="0047586B" w:rsidRDefault="00AD188D" w:rsidP="005331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D188D" w:rsidRPr="00D22CB7" w:rsidTr="005331E3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bottom"/>
          </w:tcPr>
          <w:p w:rsidR="00AD188D" w:rsidRPr="00D22CB7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/>
                <w:iCs/>
                <w:color w:val="000000"/>
                <w:sz w:val="20"/>
                <w:szCs w:val="20"/>
              </w:rPr>
              <w:t>Пројекат 1</w:t>
            </w:r>
            <w:r w:rsidRPr="00D22CB7">
              <w:rPr>
                <w:i/>
                <w:iCs/>
                <w:color w:val="000000"/>
                <w:sz w:val="20"/>
                <w:szCs w:val="20"/>
              </w:rPr>
              <w:t xml:space="preserve"> – Дом културе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Pr="00255ED6" w:rsidRDefault="00AD188D" w:rsidP="00757665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55ED6">
              <w:rPr>
                <w:b/>
                <w:i/>
                <w:iCs/>
                <w:color w:val="000000"/>
                <w:sz w:val="20"/>
                <w:szCs w:val="20"/>
              </w:rPr>
              <w:t>3.200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D188D" w:rsidRPr="000E5BEC" w:rsidRDefault="00AD188D" w:rsidP="0075766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6.287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63206A" w:rsidRDefault="00AD188D" w:rsidP="007576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AD188D" w:rsidRPr="00D22CB7" w:rsidTr="005331E3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bottom"/>
          </w:tcPr>
          <w:p w:rsidR="00AD188D" w:rsidRPr="000E5BEC" w:rsidRDefault="00AD188D" w:rsidP="00757665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Пројекат 2- </w:t>
            </w:r>
            <w:r w:rsidRPr="000E5BEC">
              <w:rPr>
                <w:i/>
                <w:iCs/>
                <w:color w:val="000000"/>
                <w:sz w:val="20"/>
                <w:szCs w:val="20"/>
              </w:rPr>
              <w:t>Споменик Милојку Вељовићу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Pr="00255ED6" w:rsidRDefault="00AD188D" w:rsidP="00757665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AD188D" w:rsidRPr="000E5BEC" w:rsidRDefault="00AD188D" w:rsidP="0075766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3.900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63206A" w:rsidRDefault="00AD188D" w:rsidP="007576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AD188D" w:rsidRPr="00D22CB7" w:rsidTr="005331E3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bottom"/>
          </w:tcPr>
          <w:p w:rsidR="00AD188D" w:rsidRDefault="00AD188D" w:rsidP="00757665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Пројекат 3- </w:t>
            </w:r>
            <w:r w:rsidRPr="000E5BEC">
              <w:rPr>
                <w:i/>
                <w:iCs/>
                <w:color w:val="000000"/>
                <w:sz w:val="20"/>
                <w:szCs w:val="20"/>
              </w:rPr>
              <w:t xml:space="preserve">Дворац у </w:t>
            </w:r>
            <w:r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0E5BEC">
              <w:rPr>
                <w:i/>
                <w:iCs/>
                <w:color w:val="000000"/>
                <w:sz w:val="20"/>
                <w:szCs w:val="20"/>
              </w:rPr>
              <w:t>акову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Pr="00255ED6" w:rsidRDefault="00AD188D" w:rsidP="00757665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AD188D" w:rsidRPr="000E5BEC" w:rsidRDefault="00AD188D" w:rsidP="0075766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15.750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B37957" w:rsidRDefault="00AD188D" w:rsidP="00757665">
            <w:pPr>
              <w:jc w:val="right"/>
              <w:rPr>
                <w:b/>
                <w:i/>
                <w:sz w:val="20"/>
                <w:szCs w:val="20"/>
              </w:rPr>
            </w:pPr>
            <w:r w:rsidRPr="00B37957">
              <w:rPr>
                <w:b/>
                <w:i/>
                <w:sz w:val="20"/>
                <w:szCs w:val="20"/>
              </w:rPr>
              <w:t>16.000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AD188D" w:rsidRPr="00D22CB7" w:rsidTr="005331E3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bottom"/>
          </w:tcPr>
          <w:p w:rsidR="00AD188D" w:rsidRPr="00D22CB7" w:rsidRDefault="00AD188D" w:rsidP="00757665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Cs/>
                <w:color w:val="000000"/>
                <w:sz w:val="20"/>
                <w:szCs w:val="20"/>
              </w:rPr>
              <w:t>Програм 1</w:t>
            </w:r>
            <w:r>
              <w:rPr>
                <w:b/>
                <w:iCs/>
                <w:color w:val="000000"/>
                <w:sz w:val="20"/>
                <w:szCs w:val="20"/>
              </w:rPr>
              <w:t>4</w:t>
            </w:r>
            <w:r w:rsidRPr="00D22CB7">
              <w:rPr>
                <w:b/>
                <w:iCs/>
                <w:color w:val="000000"/>
                <w:sz w:val="20"/>
                <w:szCs w:val="20"/>
              </w:rPr>
              <w:t>- Развој спорта и омл.</w:t>
            </w:r>
          </w:p>
          <w:p w:rsidR="00AD188D" w:rsidRPr="00D769D2" w:rsidRDefault="00AD188D" w:rsidP="00D769D2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color w:val="000000"/>
                <w:sz w:val="20"/>
                <w:szCs w:val="20"/>
              </w:rPr>
            </w:pPr>
            <w:r w:rsidRPr="00D769D2">
              <w:rPr>
                <w:i/>
                <w:iCs/>
                <w:color w:val="000000"/>
                <w:sz w:val="20"/>
                <w:szCs w:val="20"/>
              </w:rPr>
              <w:t xml:space="preserve">Дотац невладиним орган     </w:t>
            </w:r>
          </w:p>
          <w:p w:rsidR="00AD188D" w:rsidRPr="00D22CB7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D188D" w:rsidRPr="00475A21" w:rsidRDefault="00AD188D" w:rsidP="00757665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28.100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D188D" w:rsidRPr="00BA3607" w:rsidRDefault="00AD188D" w:rsidP="00757665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28.129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63206A" w:rsidRDefault="00AD188D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D188D" w:rsidRPr="00D22CB7" w:rsidTr="005331E3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bottom"/>
          </w:tcPr>
          <w:p w:rsidR="00AD188D" w:rsidRPr="00D22CB7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/>
                <w:sz w:val="20"/>
                <w:szCs w:val="20"/>
                <w:lang w:val="sr-Cyrl-CS"/>
              </w:rPr>
              <w:t xml:space="preserve">Пројекат </w:t>
            </w:r>
            <w:r w:rsidRPr="00D22CB7">
              <w:rPr>
                <w:b/>
                <w:i/>
                <w:sz w:val="20"/>
                <w:szCs w:val="20"/>
              </w:rPr>
              <w:t>1</w:t>
            </w:r>
            <w:r w:rsidRPr="00D22CB7">
              <w:rPr>
                <w:b/>
                <w:i/>
                <w:sz w:val="20"/>
                <w:szCs w:val="20"/>
                <w:lang w:val="sr-Cyrl-CS"/>
              </w:rPr>
              <w:t xml:space="preserve">: </w:t>
            </w:r>
            <w:r w:rsidRPr="00D22CB7">
              <w:rPr>
                <w:i/>
                <w:sz w:val="20"/>
                <w:szCs w:val="20"/>
              </w:rPr>
              <w:t>Базен на Руднику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Pr="00475A21" w:rsidRDefault="00AD188D" w:rsidP="00757665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475A21">
              <w:rPr>
                <w:b/>
                <w:i/>
                <w:iCs/>
                <w:color w:val="000000"/>
                <w:sz w:val="20"/>
                <w:szCs w:val="20"/>
              </w:rPr>
              <w:t>28.120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D188D" w:rsidRPr="004A3DFE" w:rsidRDefault="00AD188D" w:rsidP="0075766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39.570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AD188D" w:rsidRPr="00D22CB7" w:rsidTr="005331E3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bottom"/>
          </w:tcPr>
          <w:p w:rsidR="00AD188D" w:rsidRPr="00D22CB7" w:rsidRDefault="00AD188D" w:rsidP="0075766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2CB7">
              <w:rPr>
                <w:b/>
                <w:i/>
                <w:sz w:val="20"/>
                <w:szCs w:val="20"/>
                <w:lang w:val="sr-Cyrl-CS"/>
              </w:rPr>
              <w:t xml:space="preserve">Пројекат </w:t>
            </w:r>
            <w:r w:rsidRPr="00D22CB7">
              <w:rPr>
                <w:b/>
                <w:i/>
                <w:sz w:val="20"/>
                <w:szCs w:val="20"/>
              </w:rPr>
              <w:t>2</w:t>
            </w:r>
            <w:r w:rsidRPr="00D22CB7">
              <w:rPr>
                <w:b/>
                <w:sz w:val="20"/>
                <w:szCs w:val="20"/>
                <w:lang w:val="sr-Cyrl-CS"/>
              </w:rPr>
              <w:t xml:space="preserve">: </w:t>
            </w:r>
            <w:r w:rsidRPr="00D22CB7">
              <w:rPr>
                <w:i/>
                <w:sz w:val="20"/>
                <w:szCs w:val="20"/>
                <w:lang w:val="sr-Cyrl-CS"/>
              </w:rPr>
              <w:t>Затворени б</w:t>
            </w:r>
            <w:r w:rsidRPr="00D22CB7">
              <w:rPr>
                <w:i/>
                <w:sz w:val="20"/>
                <w:szCs w:val="20"/>
              </w:rPr>
              <w:t>азен у Г. Милановцу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Pr="00475A21" w:rsidRDefault="00AD188D" w:rsidP="00757665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475A21">
              <w:rPr>
                <w:b/>
                <w:i/>
                <w:iCs/>
                <w:color w:val="000000"/>
                <w:sz w:val="20"/>
                <w:szCs w:val="20"/>
              </w:rPr>
              <w:t>14.740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D188D" w:rsidRPr="004A3DFE" w:rsidRDefault="00AD188D" w:rsidP="0075766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14.740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59.240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AD188D" w:rsidRPr="00D22CB7" w:rsidTr="00AE1C53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AD188D" w:rsidRPr="004A3DFE" w:rsidRDefault="00AD188D" w:rsidP="00757665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Пројекат 3:</w:t>
            </w:r>
            <w:r w:rsidRPr="004A3DFE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3DFE">
              <w:rPr>
                <w:i/>
                <w:iCs/>
                <w:color w:val="000000"/>
                <w:sz w:val="20"/>
                <w:szCs w:val="20"/>
              </w:rPr>
              <w:t>Дечје игралиште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Pr="00C673E6" w:rsidRDefault="00AD188D" w:rsidP="00757665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D188D" w:rsidRPr="004A3DFE" w:rsidRDefault="00AD188D" w:rsidP="0075766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A3DFE">
              <w:rPr>
                <w:i/>
                <w:iCs/>
                <w:color w:val="000000"/>
                <w:sz w:val="20"/>
                <w:szCs w:val="20"/>
              </w:rPr>
              <w:t>8.206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FD6DFF" w:rsidRDefault="00AD188D" w:rsidP="00757665">
            <w:pPr>
              <w:jc w:val="right"/>
              <w:rPr>
                <w:b/>
                <w:i/>
                <w:sz w:val="20"/>
                <w:szCs w:val="20"/>
              </w:rPr>
            </w:pPr>
            <w:r w:rsidRPr="00FD6DFF">
              <w:rPr>
                <w:b/>
                <w:i/>
                <w:sz w:val="20"/>
                <w:szCs w:val="20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D188D" w:rsidRPr="00D22CB7" w:rsidTr="005331E3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b/>
                <w:sz w:val="20"/>
                <w:szCs w:val="20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lastRenderedPageBreak/>
              <w:t>02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AD188D" w:rsidRPr="00D22CB7" w:rsidRDefault="00AD188D" w:rsidP="00757665">
            <w:pPr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Програм 15 - Месне заједнице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Pr="00475A21" w:rsidRDefault="00AD188D" w:rsidP="007576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D188D" w:rsidRPr="00C975E7" w:rsidRDefault="00AD188D" w:rsidP="007576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13.429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C402BD" w:rsidRDefault="00AD188D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C70EB4" w:rsidRDefault="00AD188D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583CC8" w:rsidRDefault="00AD188D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14.000</w:t>
            </w:r>
          </w:p>
        </w:tc>
      </w:tr>
      <w:tr w:rsidR="00AD188D" w:rsidRPr="00D22CB7" w:rsidTr="005331E3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b/>
                <w:sz w:val="20"/>
                <w:szCs w:val="20"/>
              </w:rPr>
            </w:pPr>
            <w:r w:rsidRPr="00D22CB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AD188D" w:rsidRPr="00397A84" w:rsidRDefault="00AD188D" w:rsidP="00757665">
            <w:pPr>
              <w:rPr>
                <w:b/>
                <w:sz w:val="20"/>
                <w:szCs w:val="20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Предшколска  установа</w:t>
            </w:r>
            <w:r w:rsidR="00397A84">
              <w:rPr>
                <w:b/>
                <w:sz w:val="20"/>
                <w:szCs w:val="20"/>
              </w:rPr>
              <w:t xml:space="preserve"> „Сунце“</w:t>
            </w:r>
          </w:p>
          <w:p w:rsidR="00AD188D" w:rsidRDefault="00AD188D" w:rsidP="00757665">
            <w:pPr>
              <w:rPr>
                <w:i/>
                <w:sz w:val="20"/>
                <w:szCs w:val="20"/>
                <w:lang w:val="sr-Cyrl-CS"/>
              </w:rPr>
            </w:pPr>
          </w:p>
          <w:p w:rsidR="00AD188D" w:rsidRDefault="00AD188D" w:rsidP="00757665">
            <w:pPr>
              <w:rPr>
                <w:i/>
                <w:sz w:val="20"/>
                <w:szCs w:val="20"/>
                <w:lang w:val="sr-Cyrl-CS"/>
              </w:rPr>
            </w:pPr>
            <w:r w:rsidRPr="00B479F0">
              <w:rPr>
                <w:i/>
                <w:sz w:val="20"/>
                <w:szCs w:val="20"/>
                <w:lang w:val="sr-Cyrl-CS"/>
              </w:rPr>
              <w:t xml:space="preserve">Извор (01)                              </w:t>
            </w:r>
          </w:p>
          <w:p w:rsidR="00AD188D" w:rsidRPr="00B479F0" w:rsidRDefault="00AD188D" w:rsidP="009C6209">
            <w:pPr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Извор (07)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Default="00AD188D" w:rsidP="007576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201.570</w:t>
            </w:r>
          </w:p>
          <w:p w:rsidR="00AD188D" w:rsidRDefault="00AD188D" w:rsidP="009C62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AD188D" w:rsidRPr="009C6209" w:rsidRDefault="005331E3" w:rsidP="00397A8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397A84">
              <w:rPr>
                <w:i/>
                <w:color w:val="000000"/>
                <w:sz w:val="20"/>
                <w:szCs w:val="20"/>
              </w:rPr>
              <w:t>(</w:t>
            </w:r>
            <w:r w:rsidR="00AD188D"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 xml:space="preserve">)  </w:t>
            </w:r>
            <w:r w:rsidR="00AD188D" w:rsidRPr="009C6209">
              <w:rPr>
                <w:i/>
                <w:color w:val="000000"/>
                <w:sz w:val="20"/>
                <w:szCs w:val="20"/>
              </w:rPr>
              <w:t>193.570</w:t>
            </w:r>
          </w:p>
          <w:p w:rsidR="00AD188D" w:rsidRPr="009C6209" w:rsidRDefault="00397A84" w:rsidP="009C620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(07)</w:t>
            </w:r>
            <w:r w:rsidR="005331E3">
              <w:rPr>
                <w:i/>
                <w:color w:val="000000"/>
                <w:sz w:val="20"/>
                <w:szCs w:val="20"/>
              </w:rPr>
              <w:t xml:space="preserve">      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AD188D" w:rsidRPr="009C6209">
              <w:rPr>
                <w:i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890" w:type="dxa"/>
            <w:shd w:val="clear" w:color="auto" w:fill="auto"/>
          </w:tcPr>
          <w:p w:rsidR="00AD188D" w:rsidRDefault="00AD188D" w:rsidP="005331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204.570</w:t>
            </w:r>
          </w:p>
          <w:p w:rsidR="00AD188D" w:rsidRPr="005331E3" w:rsidRDefault="00AD188D" w:rsidP="005331E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AD188D" w:rsidRPr="005331E3" w:rsidRDefault="005331E3" w:rsidP="005331E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331E3">
              <w:rPr>
                <w:color w:val="000000"/>
                <w:sz w:val="20"/>
                <w:szCs w:val="20"/>
              </w:rPr>
              <w:t xml:space="preserve">    </w:t>
            </w:r>
            <w:r w:rsidR="00397A84" w:rsidRPr="005331E3">
              <w:rPr>
                <w:i/>
                <w:color w:val="000000"/>
                <w:sz w:val="20"/>
                <w:szCs w:val="20"/>
              </w:rPr>
              <w:t>(</w:t>
            </w:r>
            <w:r w:rsidR="00AD188D" w:rsidRPr="005331E3">
              <w:rPr>
                <w:i/>
                <w:color w:val="000000"/>
                <w:sz w:val="20"/>
                <w:szCs w:val="20"/>
              </w:rPr>
              <w:t>01</w:t>
            </w:r>
            <w:r w:rsidR="00397A84" w:rsidRPr="005331E3">
              <w:rPr>
                <w:i/>
                <w:color w:val="000000"/>
                <w:sz w:val="20"/>
                <w:szCs w:val="20"/>
              </w:rPr>
              <w:t>)</w:t>
            </w:r>
            <w:r w:rsidR="00AD188D" w:rsidRPr="005331E3">
              <w:rPr>
                <w:i/>
                <w:color w:val="000000"/>
                <w:sz w:val="20"/>
                <w:szCs w:val="20"/>
              </w:rPr>
              <w:t xml:space="preserve">  </w:t>
            </w:r>
            <w:r w:rsidRPr="005331E3">
              <w:rPr>
                <w:i/>
                <w:color w:val="000000"/>
                <w:sz w:val="20"/>
                <w:szCs w:val="20"/>
              </w:rPr>
              <w:t xml:space="preserve">     </w:t>
            </w:r>
            <w:r w:rsidR="00AD188D" w:rsidRPr="005331E3">
              <w:rPr>
                <w:i/>
                <w:color w:val="000000"/>
                <w:sz w:val="20"/>
                <w:szCs w:val="20"/>
              </w:rPr>
              <w:t>193.650</w:t>
            </w:r>
          </w:p>
          <w:p w:rsidR="00AD188D" w:rsidRPr="005331E3" w:rsidRDefault="00397A84" w:rsidP="005331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31E3">
              <w:rPr>
                <w:i/>
                <w:color w:val="000000"/>
                <w:sz w:val="20"/>
                <w:szCs w:val="20"/>
              </w:rPr>
              <w:t>(</w:t>
            </w:r>
            <w:r w:rsidR="00AD188D" w:rsidRPr="005331E3">
              <w:rPr>
                <w:i/>
                <w:color w:val="000000"/>
                <w:sz w:val="20"/>
                <w:szCs w:val="20"/>
              </w:rPr>
              <w:t>07</w:t>
            </w:r>
            <w:r w:rsidRPr="005331E3">
              <w:rPr>
                <w:i/>
                <w:color w:val="000000"/>
                <w:sz w:val="20"/>
                <w:szCs w:val="20"/>
              </w:rPr>
              <w:t>)</w:t>
            </w:r>
            <w:r w:rsidR="005331E3" w:rsidRPr="005331E3">
              <w:rPr>
                <w:i/>
                <w:color w:val="000000"/>
                <w:sz w:val="20"/>
                <w:szCs w:val="20"/>
              </w:rPr>
              <w:t xml:space="preserve">     </w:t>
            </w:r>
            <w:r w:rsidR="00AD188D" w:rsidRPr="005331E3">
              <w:rPr>
                <w:i/>
                <w:color w:val="000000"/>
                <w:sz w:val="20"/>
                <w:szCs w:val="20"/>
              </w:rPr>
              <w:t xml:space="preserve">    10.920</w:t>
            </w:r>
          </w:p>
        </w:tc>
        <w:tc>
          <w:tcPr>
            <w:tcW w:w="1260" w:type="dxa"/>
            <w:shd w:val="clear" w:color="auto" w:fill="auto"/>
          </w:tcPr>
          <w:p w:rsidR="00AD188D" w:rsidRDefault="00AD188D" w:rsidP="00B379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205.000</w:t>
            </w:r>
          </w:p>
          <w:p w:rsidR="00397A84" w:rsidRDefault="00397A84" w:rsidP="00B37957">
            <w:pPr>
              <w:jc w:val="right"/>
              <w:rPr>
                <w:b/>
                <w:sz w:val="20"/>
                <w:szCs w:val="20"/>
              </w:rPr>
            </w:pPr>
          </w:p>
          <w:p w:rsidR="00397A84" w:rsidRPr="00397A84" w:rsidRDefault="00397A84" w:rsidP="00B37957">
            <w:pPr>
              <w:jc w:val="right"/>
              <w:rPr>
                <w:i/>
                <w:sz w:val="20"/>
                <w:szCs w:val="20"/>
              </w:rPr>
            </w:pPr>
            <w:r w:rsidRPr="00397A84">
              <w:rPr>
                <w:i/>
                <w:sz w:val="20"/>
                <w:szCs w:val="20"/>
              </w:rPr>
              <w:t>(01) 195.000</w:t>
            </w:r>
          </w:p>
          <w:p w:rsidR="00397A84" w:rsidRPr="00397A84" w:rsidRDefault="00397A84" w:rsidP="00B37957">
            <w:pPr>
              <w:jc w:val="right"/>
              <w:rPr>
                <w:b/>
                <w:sz w:val="20"/>
                <w:szCs w:val="20"/>
              </w:rPr>
            </w:pPr>
            <w:r w:rsidRPr="00397A84">
              <w:rPr>
                <w:i/>
                <w:sz w:val="20"/>
                <w:szCs w:val="20"/>
              </w:rPr>
              <w:t>(07)   10.000</w:t>
            </w:r>
          </w:p>
        </w:tc>
        <w:tc>
          <w:tcPr>
            <w:tcW w:w="1260" w:type="dxa"/>
            <w:shd w:val="clear" w:color="auto" w:fill="auto"/>
          </w:tcPr>
          <w:p w:rsidR="00AD188D" w:rsidRPr="00C70EB4" w:rsidRDefault="00AD188D" w:rsidP="00B379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210.000</w:t>
            </w:r>
          </w:p>
        </w:tc>
        <w:tc>
          <w:tcPr>
            <w:tcW w:w="1260" w:type="dxa"/>
            <w:shd w:val="clear" w:color="auto" w:fill="auto"/>
          </w:tcPr>
          <w:p w:rsidR="00AD188D" w:rsidRPr="00583CC8" w:rsidRDefault="00AD188D" w:rsidP="00B379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220.000</w:t>
            </w:r>
          </w:p>
        </w:tc>
      </w:tr>
      <w:tr w:rsidR="00AD188D" w:rsidRPr="00D22CB7" w:rsidTr="005331E3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04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AD188D" w:rsidRDefault="00AD188D" w:rsidP="00757665">
            <w:pPr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Културни центар</w:t>
            </w:r>
          </w:p>
          <w:p w:rsidR="00AD188D" w:rsidRPr="00D22CB7" w:rsidRDefault="00AD188D" w:rsidP="00757665">
            <w:pPr>
              <w:rPr>
                <w:b/>
                <w:sz w:val="20"/>
                <w:szCs w:val="20"/>
              </w:rPr>
            </w:pPr>
          </w:p>
          <w:p w:rsidR="00AD188D" w:rsidRPr="00D22CB7" w:rsidRDefault="00AD188D" w:rsidP="00757665">
            <w:pPr>
              <w:rPr>
                <w:i/>
                <w:sz w:val="20"/>
                <w:szCs w:val="20"/>
              </w:rPr>
            </w:pPr>
            <w:r w:rsidRPr="00D22CB7">
              <w:rPr>
                <w:b/>
                <w:sz w:val="20"/>
                <w:szCs w:val="20"/>
              </w:rPr>
              <w:t>-</w:t>
            </w:r>
            <w:r w:rsidR="00BC6994">
              <w:rPr>
                <w:b/>
                <w:sz w:val="20"/>
                <w:szCs w:val="20"/>
              </w:rPr>
              <w:t xml:space="preserve"> </w:t>
            </w:r>
            <w:r w:rsidRPr="00D22CB7">
              <w:rPr>
                <w:i/>
                <w:sz w:val="20"/>
                <w:szCs w:val="20"/>
              </w:rPr>
              <w:t xml:space="preserve">фин </w:t>
            </w:r>
            <w:r w:rsidR="00BC6994">
              <w:rPr>
                <w:i/>
                <w:sz w:val="20"/>
                <w:szCs w:val="20"/>
              </w:rPr>
              <w:t xml:space="preserve"> </w:t>
            </w:r>
            <w:r w:rsidRPr="00D22CB7">
              <w:rPr>
                <w:i/>
                <w:sz w:val="20"/>
                <w:szCs w:val="20"/>
              </w:rPr>
              <w:t xml:space="preserve">установе         </w:t>
            </w:r>
            <w:r>
              <w:rPr>
                <w:i/>
                <w:sz w:val="20"/>
                <w:szCs w:val="20"/>
              </w:rPr>
              <w:t xml:space="preserve">                </w:t>
            </w:r>
          </w:p>
          <w:p w:rsidR="00AD188D" w:rsidRPr="00D22CB7" w:rsidRDefault="00AD188D" w:rsidP="00244A18">
            <w:pPr>
              <w:rPr>
                <w:b/>
                <w:sz w:val="20"/>
                <w:szCs w:val="20"/>
              </w:rPr>
            </w:pPr>
            <w:r w:rsidRPr="00D22CB7">
              <w:rPr>
                <w:i/>
                <w:sz w:val="20"/>
                <w:szCs w:val="20"/>
              </w:rPr>
              <w:t>-</w:t>
            </w:r>
            <w:r w:rsidR="00BC6994">
              <w:rPr>
                <w:i/>
                <w:sz w:val="20"/>
                <w:szCs w:val="20"/>
              </w:rPr>
              <w:t xml:space="preserve"> </w:t>
            </w:r>
            <w:r w:rsidRPr="00D22CB7">
              <w:rPr>
                <w:i/>
                <w:sz w:val="20"/>
                <w:szCs w:val="20"/>
              </w:rPr>
              <w:t xml:space="preserve">пројекти                </w:t>
            </w:r>
            <w:r>
              <w:rPr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Default="00AD188D" w:rsidP="007576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37.623</w:t>
            </w:r>
          </w:p>
          <w:p w:rsidR="00AD188D" w:rsidRDefault="00AD188D" w:rsidP="007576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AD188D" w:rsidRPr="00244A18" w:rsidRDefault="00AD188D" w:rsidP="0075766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244A18">
              <w:rPr>
                <w:i/>
                <w:color w:val="000000"/>
                <w:sz w:val="20"/>
                <w:szCs w:val="20"/>
              </w:rPr>
              <w:t>33.888</w:t>
            </w:r>
          </w:p>
          <w:p w:rsidR="00AD188D" w:rsidRPr="00244A18" w:rsidRDefault="00AD188D" w:rsidP="007576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4A18">
              <w:rPr>
                <w:i/>
                <w:color w:val="000000"/>
                <w:sz w:val="20"/>
                <w:szCs w:val="20"/>
              </w:rPr>
              <w:t>3.735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D188D" w:rsidRDefault="00AD188D" w:rsidP="005331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39.223</w:t>
            </w:r>
          </w:p>
          <w:p w:rsidR="00AD188D" w:rsidRPr="005331E3" w:rsidRDefault="00AD188D" w:rsidP="005331E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AD188D" w:rsidRPr="005331E3" w:rsidRDefault="00AD188D" w:rsidP="005331E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331E3">
              <w:rPr>
                <w:i/>
                <w:color w:val="000000"/>
                <w:sz w:val="20"/>
                <w:szCs w:val="20"/>
              </w:rPr>
              <w:t>35.448</w:t>
            </w:r>
          </w:p>
          <w:p w:rsidR="00AD188D" w:rsidRPr="00C975E7" w:rsidRDefault="00AD188D" w:rsidP="005331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31E3">
              <w:rPr>
                <w:i/>
                <w:color w:val="000000"/>
                <w:sz w:val="20"/>
                <w:szCs w:val="20"/>
              </w:rPr>
              <w:t>3.735</w:t>
            </w:r>
          </w:p>
        </w:tc>
        <w:tc>
          <w:tcPr>
            <w:tcW w:w="1260" w:type="dxa"/>
            <w:shd w:val="clear" w:color="auto" w:fill="auto"/>
          </w:tcPr>
          <w:p w:rsidR="00AD188D" w:rsidRDefault="00AD188D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38.800</w:t>
            </w:r>
          </w:p>
          <w:p w:rsidR="00AD188D" w:rsidRPr="00522C2D" w:rsidRDefault="00AD188D" w:rsidP="00757665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D188D" w:rsidRPr="00C70EB4" w:rsidRDefault="00AD188D" w:rsidP="00B379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40.000</w:t>
            </w:r>
          </w:p>
        </w:tc>
        <w:tc>
          <w:tcPr>
            <w:tcW w:w="1260" w:type="dxa"/>
            <w:shd w:val="clear" w:color="auto" w:fill="auto"/>
          </w:tcPr>
          <w:p w:rsidR="00AD188D" w:rsidRPr="00583CC8" w:rsidRDefault="00AD188D" w:rsidP="00B379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42.000</w:t>
            </w:r>
          </w:p>
        </w:tc>
      </w:tr>
      <w:tr w:rsidR="00AD188D" w:rsidRPr="00D22CB7" w:rsidTr="005331E3">
        <w:trPr>
          <w:trHeight w:val="256"/>
        </w:trPr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05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AD188D" w:rsidRDefault="00AD188D" w:rsidP="00757665">
            <w:pPr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Библиотека</w:t>
            </w:r>
          </w:p>
          <w:p w:rsidR="00AD188D" w:rsidRPr="00D22CB7" w:rsidRDefault="00AD188D" w:rsidP="00757665">
            <w:pPr>
              <w:rPr>
                <w:b/>
                <w:sz w:val="20"/>
                <w:szCs w:val="20"/>
              </w:rPr>
            </w:pPr>
          </w:p>
          <w:p w:rsidR="00AD188D" w:rsidRDefault="00AD188D" w:rsidP="00AC17D1">
            <w:pPr>
              <w:rPr>
                <w:i/>
                <w:sz w:val="20"/>
                <w:szCs w:val="20"/>
              </w:rPr>
            </w:pPr>
            <w:r w:rsidRPr="00D22CB7">
              <w:rPr>
                <w:b/>
                <w:i/>
                <w:sz w:val="20"/>
                <w:szCs w:val="20"/>
              </w:rPr>
              <w:t>-</w:t>
            </w:r>
            <w:r w:rsidR="00BC6994">
              <w:rPr>
                <w:b/>
                <w:i/>
                <w:sz w:val="20"/>
                <w:szCs w:val="20"/>
              </w:rPr>
              <w:t xml:space="preserve"> </w:t>
            </w:r>
            <w:r w:rsidRPr="00D22CB7">
              <w:rPr>
                <w:i/>
                <w:sz w:val="20"/>
                <w:szCs w:val="20"/>
              </w:rPr>
              <w:t xml:space="preserve">фин </w:t>
            </w:r>
            <w:r w:rsidR="00BC699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установе  </w:t>
            </w:r>
          </w:p>
          <w:p w:rsidR="00AD188D" w:rsidRPr="00D22CB7" w:rsidRDefault="00AD188D" w:rsidP="00AC17D1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-пројекти</w:t>
            </w:r>
            <w:r w:rsidRPr="00D22CB7">
              <w:rPr>
                <w:i/>
                <w:sz w:val="20"/>
                <w:szCs w:val="20"/>
              </w:rPr>
              <w:t xml:space="preserve">         </w:t>
            </w:r>
            <w:r>
              <w:rPr>
                <w:i/>
                <w:sz w:val="20"/>
                <w:szCs w:val="20"/>
              </w:rPr>
              <w:t xml:space="preserve">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Default="00AD188D" w:rsidP="007576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20.755</w:t>
            </w:r>
          </w:p>
          <w:p w:rsidR="00AD188D" w:rsidRDefault="00AD188D" w:rsidP="007576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AD188D" w:rsidRPr="00AC17D1" w:rsidRDefault="00AD188D" w:rsidP="0075766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AC17D1">
              <w:rPr>
                <w:i/>
                <w:color w:val="000000"/>
                <w:sz w:val="20"/>
                <w:szCs w:val="20"/>
              </w:rPr>
              <w:t>20.568</w:t>
            </w:r>
          </w:p>
          <w:p w:rsidR="00AD188D" w:rsidRPr="00AC17D1" w:rsidRDefault="00AD188D" w:rsidP="007576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C17D1">
              <w:rPr>
                <w:i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D188D" w:rsidRDefault="00AD188D" w:rsidP="005331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22.755</w:t>
            </w:r>
          </w:p>
          <w:p w:rsidR="00AD188D" w:rsidRDefault="00AD188D" w:rsidP="007576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AD188D" w:rsidRPr="00C975E7" w:rsidRDefault="00AD188D" w:rsidP="0075766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C975E7">
              <w:rPr>
                <w:i/>
                <w:color w:val="000000"/>
                <w:sz w:val="20"/>
                <w:szCs w:val="20"/>
              </w:rPr>
              <w:t>22.568</w:t>
            </w:r>
          </w:p>
          <w:p w:rsidR="00AD188D" w:rsidRPr="00C975E7" w:rsidRDefault="00AD188D" w:rsidP="007576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975E7">
              <w:rPr>
                <w:i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60" w:type="dxa"/>
            <w:shd w:val="clear" w:color="auto" w:fill="auto"/>
          </w:tcPr>
          <w:p w:rsidR="00AD188D" w:rsidRPr="00285FAD" w:rsidRDefault="00AD188D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22.800</w:t>
            </w:r>
          </w:p>
        </w:tc>
        <w:tc>
          <w:tcPr>
            <w:tcW w:w="1260" w:type="dxa"/>
            <w:shd w:val="clear" w:color="auto" w:fill="auto"/>
          </w:tcPr>
          <w:p w:rsidR="00AD188D" w:rsidRPr="00C70EB4" w:rsidRDefault="00AD188D" w:rsidP="00B379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23.500</w:t>
            </w:r>
          </w:p>
        </w:tc>
        <w:tc>
          <w:tcPr>
            <w:tcW w:w="1260" w:type="dxa"/>
            <w:shd w:val="clear" w:color="auto" w:fill="auto"/>
          </w:tcPr>
          <w:p w:rsidR="00AD188D" w:rsidRPr="00583CC8" w:rsidRDefault="00AD188D" w:rsidP="00B379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24.000</w:t>
            </w:r>
          </w:p>
        </w:tc>
      </w:tr>
      <w:tr w:rsidR="00AD188D" w:rsidRPr="00D22CB7" w:rsidTr="005331E3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06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AD188D" w:rsidRDefault="00AD188D" w:rsidP="00757665">
            <w:pPr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Музеј рудничко-таковског краја</w:t>
            </w:r>
          </w:p>
          <w:p w:rsidR="00AD188D" w:rsidRPr="00D22CB7" w:rsidRDefault="00AD188D" w:rsidP="00757665">
            <w:pPr>
              <w:rPr>
                <w:b/>
                <w:sz w:val="20"/>
                <w:szCs w:val="20"/>
                <w:lang w:val="sr-Cyrl-CS"/>
              </w:rPr>
            </w:pPr>
          </w:p>
          <w:p w:rsidR="00AD188D" w:rsidRDefault="00AD188D" w:rsidP="00757665">
            <w:pPr>
              <w:rPr>
                <w:i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-</w:t>
            </w:r>
            <w:r w:rsidRPr="00D22CB7">
              <w:rPr>
                <w:i/>
                <w:sz w:val="20"/>
                <w:szCs w:val="20"/>
                <w:lang w:val="sr-Cyrl-CS"/>
              </w:rPr>
              <w:t xml:space="preserve">фин установе        </w:t>
            </w:r>
            <w:r>
              <w:rPr>
                <w:i/>
                <w:sz w:val="20"/>
                <w:szCs w:val="20"/>
                <w:lang w:val="sr-Cyrl-CS"/>
              </w:rPr>
              <w:t xml:space="preserve">                 </w:t>
            </w:r>
          </w:p>
          <w:p w:rsidR="00AD188D" w:rsidRPr="00D22CB7" w:rsidRDefault="00AD188D" w:rsidP="005267B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-пројекти                                       </w:t>
            </w:r>
            <w:r w:rsidRPr="00D22CB7">
              <w:rPr>
                <w:i/>
                <w:sz w:val="20"/>
                <w:szCs w:val="20"/>
                <w:lang w:val="sr-Cyrl-CS"/>
              </w:rPr>
              <w:t xml:space="preserve">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Default="00AD188D" w:rsidP="007576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27.237</w:t>
            </w:r>
          </w:p>
          <w:p w:rsidR="00AD188D" w:rsidRDefault="00AD188D" w:rsidP="007576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AD188D" w:rsidRPr="005267B7" w:rsidRDefault="00AD188D" w:rsidP="0075766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267B7">
              <w:rPr>
                <w:i/>
                <w:color w:val="000000"/>
                <w:sz w:val="20"/>
                <w:szCs w:val="20"/>
              </w:rPr>
              <w:t>27.167</w:t>
            </w:r>
          </w:p>
          <w:p w:rsidR="00AD188D" w:rsidRPr="005267B7" w:rsidRDefault="00AD188D" w:rsidP="007576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267B7">
              <w:rPr>
                <w:i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D188D" w:rsidRDefault="00AD188D" w:rsidP="007576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27.237</w:t>
            </w:r>
          </w:p>
          <w:p w:rsidR="00AD188D" w:rsidRDefault="00AD188D" w:rsidP="005267B7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AD188D" w:rsidRPr="005267B7" w:rsidRDefault="00AD188D" w:rsidP="005267B7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267B7">
              <w:rPr>
                <w:i/>
                <w:color w:val="000000"/>
                <w:sz w:val="20"/>
                <w:szCs w:val="20"/>
              </w:rPr>
              <w:t>27.167</w:t>
            </w:r>
          </w:p>
          <w:p w:rsidR="00AD188D" w:rsidRPr="005267B7" w:rsidRDefault="00AD188D" w:rsidP="005267B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267B7">
              <w:rPr>
                <w:i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AD188D" w:rsidRPr="00285FAD" w:rsidRDefault="00AD188D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27.200</w:t>
            </w:r>
          </w:p>
        </w:tc>
        <w:tc>
          <w:tcPr>
            <w:tcW w:w="1260" w:type="dxa"/>
            <w:shd w:val="clear" w:color="auto" w:fill="auto"/>
          </w:tcPr>
          <w:p w:rsidR="00AD188D" w:rsidRPr="00C70EB4" w:rsidRDefault="00AD188D" w:rsidP="00B379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28.000</w:t>
            </w:r>
          </w:p>
        </w:tc>
        <w:tc>
          <w:tcPr>
            <w:tcW w:w="1260" w:type="dxa"/>
            <w:shd w:val="clear" w:color="auto" w:fill="auto"/>
          </w:tcPr>
          <w:p w:rsidR="00AD188D" w:rsidRPr="00583CC8" w:rsidRDefault="00AD188D" w:rsidP="00B379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29.000</w:t>
            </w:r>
          </w:p>
        </w:tc>
      </w:tr>
      <w:tr w:rsidR="00AD188D" w:rsidRPr="00D22CB7" w:rsidTr="005331E3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07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AD188D" w:rsidRDefault="00AD188D" w:rsidP="00757665">
            <w:pPr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Туристичка организација</w:t>
            </w:r>
          </w:p>
          <w:p w:rsidR="00AD188D" w:rsidRPr="00D22CB7" w:rsidRDefault="00AD188D" w:rsidP="00757665">
            <w:pPr>
              <w:rPr>
                <w:b/>
                <w:sz w:val="20"/>
                <w:szCs w:val="20"/>
                <w:lang w:val="sr-Cyrl-CS"/>
              </w:rPr>
            </w:pPr>
          </w:p>
          <w:p w:rsidR="00AD188D" w:rsidRDefault="00AD188D" w:rsidP="00757665">
            <w:pPr>
              <w:rPr>
                <w:i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-</w:t>
            </w:r>
            <w:r w:rsidR="00BC6994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22CB7">
              <w:rPr>
                <w:i/>
                <w:sz w:val="20"/>
                <w:szCs w:val="20"/>
                <w:lang w:val="sr-Cyrl-CS"/>
              </w:rPr>
              <w:t>фин</w:t>
            </w:r>
            <w:r w:rsidR="00BC6994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22CB7">
              <w:rPr>
                <w:i/>
                <w:sz w:val="20"/>
                <w:szCs w:val="20"/>
                <w:lang w:val="sr-Cyrl-CS"/>
              </w:rPr>
              <w:t xml:space="preserve"> установе  </w:t>
            </w:r>
            <w:r>
              <w:rPr>
                <w:i/>
                <w:sz w:val="20"/>
                <w:szCs w:val="20"/>
                <w:lang w:val="sr-Cyrl-CS"/>
              </w:rPr>
              <w:t xml:space="preserve">                          </w:t>
            </w:r>
          </w:p>
          <w:p w:rsidR="00AD188D" w:rsidRPr="00D22CB7" w:rsidRDefault="00AD188D" w:rsidP="006417D5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-</w:t>
            </w:r>
            <w:r w:rsidR="00BC6994"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 xml:space="preserve">пројекти                       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Default="00AD188D" w:rsidP="007576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11.025</w:t>
            </w:r>
          </w:p>
          <w:p w:rsidR="00AD188D" w:rsidRDefault="00AD188D" w:rsidP="007576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AD188D" w:rsidRPr="006417D5" w:rsidRDefault="00AD188D" w:rsidP="0075766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417D5">
              <w:rPr>
                <w:i/>
                <w:color w:val="000000"/>
                <w:sz w:val="20"/>
                <w:szCs w:val="20"/>
              </w:rPr>
              <w:t>9.175</w:t>
            </w:r>
          </w:p>
          <w:p w:rsidR="00AD188D" w:rsidRPr="001B4168" w:rsidRDefault="00AD188D" w:rsidP="007576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417D5">
              <w:rPr>
                <w:i/>
                <w:color w:val="000000"/>
                <w:sz w:val="20"/>
                <w:szCs w:val="20"/>
              </w:rPr>
              <w:t>1.850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D188D" w:rsidRDefault="00AD188D" w:rsidP="00217E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11.625</w:t>
            </w:r>
          </w:p>
          <w:p w:rsidR="00AD188D" w:rsidRDefault="00AD188D" w:rsidP="007576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AD188D" w:rsidRPr="00C975E7" w:rsidRDefault="00AD188D" w:rsidP="0075766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C975E7">
              <w:rPr>
                <w:i/>
                <w:color w:val="000000"/>
                <w:sz w:val="20"/>
                <w:szCs w:val="20"/>
              </w:rPr>
              <w:t>9.775</w:t>
            </w:r>
          </w:p>
          <w:p w:rsidR="00AD188D" w:rsidRPr="00C975E7" w:rsidRDefault="00AD188D" w:rsidP="007576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975E7">
              <w:rPr>
                <w:i/>
                <w:color w:val="000000"/>
                <w:sz w:val="20"/>
                <w:szCs w:val="20"/>
              </w:rPr>
              <w:t>1.850</w:t>
            </w:r>
          </w:p>
        </w:tc>
        <w:tc>
          <w:tcPr>
            <w:tcW w:w="1260" w:type="dxa"/>
            <w:shd w:val="clear" w:color="auto" w:fill="auto"/>
          </w:tcPr>
          <w:p w:rsidR="00AD188D" w:rsidRPr="006D5F12" w:rsidRDefault="00AD188D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11.020</w:t>
            </w:r>
          </w:p>
        </w:tc>
        <w:tc>
          <w:tcPr>
            <w:tcW w:w="1260" w:type="dxa"/>
            <w:shd w:val="clear" w:color="auto" w:fill="auto"/>
          </w:tcPr>
          <w:p w:rsidR="00AD188D" w:rsidRPr="00C70EB4" w:rsidRDefault="00AD188D" w:rsidP="00B379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11.400</w:t>
            </w:r>
          </w:p>
        </w:tc>
        <w:tc>
          <w:tcPr>
            <w:tcW w:w="1260" w:type="dxa"/>
            <w:shd w:val="clear" w:color="auto" w:fill="auto"/>
          </w:tcPr>
          <w:p w:rsidR="00AD188D" w:rsidRPr="00583CC8" w:rsidRDefault="00AD188D" w:rsidP="00B379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</w:t>
            </w:r>
          </w:p>
        </w:tc>
      </w:tr>
      <w:tr w:rsidR="00AD188D" w:rsidRPr="00D22CB7" w:rsidTr="005331E3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08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AD188D" w:rsidRPr="00D22CB7" w:rsidRDefault="00AD188D" w:rsidP="00757665">
            <w:pPr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Установа „Спортско – рекр</w:t>
            </w:r>
            <w:r w:rsidRPr="00D22CB7">
              <w:rPr>
                <w:b/>
                <w:sz w:val="20"/>
                <w:szCs w:val="20"/>
              </w:rPr>
              <w:t xml:space="preserve">еативни </w:t>
            </w:r>
            <w:r w:rsidRPr="00D22CB7">
              <w:rPr>
                <w:b/>
                <w:sz w:val="20"/>
                <w:szCs w:val="20"/>
                <w:lang w:val="sr-Cyrl-CS"/>
              </w:rPr>
              <w:t>центар“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Pr="00D527E7" w:rsidRDefault="00AD188D" w:rsidP="007576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20.970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D188D" w:rsidRPr="00C93934" w:rsidRDefault="00AD188D" w:rsidP="007576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8C0ADC" w:rsidRDefault="00AD188D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C70EB4" w:rsidRDefault="00AD188D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23.700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583CC8" w:rsidRDefault="00AD188D" w:rsidP="00757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24.000</w:t>
            </w:r>
          </w:p>
        </w:tc>
      </w:tr>
      <w:tr w:rsidR="00AD188D" w:rsidRPr="00D22CB7" w:rsidTr="00217EE9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b/>
                <w:sz w:val="20"/>
                <w:szCs w:val="20"/>
              </w:rPr>
            </w:pPr>
            <w:r w:rsidRPr="00D22CB7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AD188D" w:rsidRPr="00D22CB7" w:rsidRDefault="00AD188D" w:rsidP="00757665">
            <w:pPr>
              <w:rPr>
                <w:b/>
                <w:sz w:val="20"/>
                <w:szCs w:val="20"/>
                <w:lang w:val="sr-Cyrl-CS"/>
              </w:rPr>
            </w:pPr>
            <w:r w:rsidRPr="00D22CB7">
              <w:rPr>
                <w:b/>
                <w:sz w:val="20"/>
                <w:szCs w:val="20"/>
                <w:lang w:val="sr-Cyrl-CS"/>
              </w:rPr>
              <w:t>Општинско правобранилаштво</w:t>
            </w:r>
          </w:p>
          <w:p w:rsidR="00AD188D" w:rsidRPr="005213BE" w:rsidRDefault="00AD188D" w:rsidP="00757665">
            <w:pPr>
              <w:rPr>
                <w:i/>
                <w:sz w:val="20"/>
                <w:szCs w:val="20"/>
              </w:rPr>
            </w:pPr>
            <w:r w:rsidRPr="005213BE">
              <w:rPr>
                <w:i/>
                <w:iCs/>
                <w:color w:val="000000"/>
                <w:sz w:val="20"/>
                <w:szCs w:val="20"/>
              </w:rPr>
              <w:t>Програм 15 – Опште услуге лок. самоуправе</w:t>
            </w:r>
          </w:p>
        </w:tc>
        <w:tc>
          <w:tcPr>
            <w:tcW w:w="1350" w:type="dxa"/>
            <w:shd w:val="clear" w:color="auto" w:fill="auto"/>
          </w:tcPr>
          <w:p w:rsidR="00AD188D" w:rsidRPr="005213BE" w:rsidRDefault="00AD188D" w:rsidP="00217E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4.320</w:t>
            </w:r>
          </w:p>
        </w:tc>
        <w:tc>
          <w:tcPr>
            <w:tcW w:w="1890" w:type="dxa"/>
            <w:shd w:val="clear" w:color="auto" w:fill="auto"/>
          </w:tcPr>
          <w:p w:rsidR="00AD188D" w:rsidRPr="00A1607F" w:rsidRDefault="00AD188D" w:rsidP="00217E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4.320</w:t>
            </w:r>
          </w:p>
        </w:tc>
        <w:tc>
          <w:tcPr>
            <w:tcW w:w="1260" w:type="dxa"/>
            <w:shd w:val="clear" w:color="auto" w:fill="auto"/>
          </w:tcPr>
          <w:p w:rsidR="00AD188D" w:rsidRPr="00DA6120" w:rsidRDefault="00AD188D" w:rsidP="00217E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4.320</w:t>
            </w:r>
          </w:p>
        </w:tc>
        <w:tc>
          <w:tcPr>
            <w:tcW w:w="1260" w:type="dxa"/>
            <w:shd w:val="clear" w:color="auto" w:fill="auto"/>
          </w:tcPr>
          <w:p w:rsidR="00AD188D" w:rsidRPr="00C70EB4" w:rsidRDefault="00AD188D" w:rsidP="00217E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4.500</w:t>
            </w:r>
          </w:p>
        </w:tc>
        <w:tc>
          <w:tcPr>
            <w:tcW w:w="1260" w:type="dxa"/>
            <w:shd w:val="clear" w:color="auto" w:fill="auto"/>
          </w:tcPr>
          <w:p w:rsidR="00AD188D" w:rsidRPr="00583CC8" w:rsidRDefault="00AD188D" w:rsidP="00217E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4.600</w:t>
            </w:r>
          </w:p>
        </w:tc>
      </w:tr>
      <w:tr w:rsidR="00AD188D" w:rsidRPr="00D22CB7" w:rsidTr="00217EE9">
        <w:tc>
          <w:tcPr>
            <w:tcW w:w="717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AD188D" w:rsidRDefault="00AD188D" w:rsidP="007576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Заштитник грађана</w:t>
            </w:r>
          </w:p>
          <w:p w:rsidR="00AD188D" w:rsidRPr="005213BE" w:rsidRDefault="00AD188D" w:rsidP="00757665">
            <w:pPr>
              <w:rPr>
                <w:i/>
                <w:sz w:val="20"/>
                <w:szCs w:val="20"/>
              </w:rPr>
            </w:pPr>
            <w:r w:rsidRPr="005213BE">
              <w:rPr>
                <w:i/>
                <w:iCs/>
                <w:color w:val="000000"/>
                <w:sz w:val="20"/>
                <w:szCs w:val="20"/>
              </w:rPr>
              <w:t>Програм 15 – Опште услуге лок. самоуправе</w:t>
            </w:r>
          </w:p>
        </w:tc>
        <w:tc>
          <w:tcPr>
            <w:tcW w:w="1350" w:type="dxa"/>
            <w:shd w:val="clear" w:color="auto" w:fill="auto"/>
          </w:tcPr>
          <w:p w:rsidR="00AD188D" w:rsidRPr="005213BE" w:rsidRDefault="00AD188D" w:rsidP="00217E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1.660</w:t>
            </w:r>
          </w:p>
        </w:tc>
        <w:tc>
          <w:tcPr>
            <w:tcW w:w="1890" w:type="dxa"/>
            <w:shd w:val="clear" w:color="auto" w:fill="auto"/>
          </w:tcPr>
          <w:p w:rsidR="00AD188D" w:rsidRPr="00A1607F" w:rsidRDefault="00AD188D" w:rsidP="00217E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1.660</w:t>
            </w:r>
          </w:p>
        </w:tc>
        <w:tc>
          <w:tcPr>
            <w:tcW w:w="1260" w:type="dxa"/>
            <w:shd w:val="clear" w:color="auto" w:fill="auto"/>
          </w:tcPr>
          <w:p w:rsidR="00AD188D" w:rsidRPr="00DA6120" w:rsidRDefault="00AD188D" w:rsidP="00217E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2.000</w:t>
            </w:r>
          </w:p>
        </w:tc>
        <w:tc>
          <w:tcPr>
            <w:tcW w:w="1260" w:type="dxa"/>
            <w:shd w:val="clear" w:color="auto" w:fill="auto"/>
          </w:tcPr>
          <w:p w:rsidR="00AD188D" w:rsidRPr="00C70EB4" w:rsidRDefault="00AD188D" w:rsidP="00217E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2.100</w:t>
            </w:r>
          </w:p>
        </w:tc>
        <w:tc>
          <w:tcPr>
            <w:tcW w:w="1260" w:type="dxa"/>
            <w:shd w:val="clear" w:color="auto" w:fill="auto"/>
          </w:tcPr>
          <w:p w:rsidR="00AD188D" w:rsidRPr="00583CC8" w:rsidRDefault="00AD188D" w:rsidP="00217E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2.200</w:t>
            </w:r>
          </w:p>
        </w:tc>
      </w:tr>
      <w:tr w:rsidR="00AD188D" w:rsidRPr="00D22CB7" w:rsidTr="00EE7BA4">
        <w:trPr>
          <w:trHeight w:val="420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AD188D" w:rsidRPr="00397A84" w:rsidRDefault="00AD188D" w:rsidP="00C80DCD">
            <w:pPr>
              <w:rPr>
                <w:b/>
                <w:i/>
                <w:lang w:val="sr-Cyrl-CS"/>
              </w:rPr>
            </w:pPr>
            <w:r w:rsidRPr="00397A84">
              <w:rPr>
                <w:b/>
                <w:i/>
                <w:lang w:val="sr-Cyrl-CS"/>
              </w:rPr>
              <w:t>Извори финансирања: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Pr="00754956" w:rsidRDefault="00AD188D" w:rsidP="00757665">
            <w:pPr>
              <w:jc w:val="right"/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AD188D" w:rsidRPr="00111011" w:rsidRDefault="00AD188D" w:rsidP="00757665">
            <w:pPr>
              <w:jc w:val="right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111011" w:rsidRDefault="00AD188D" w:rsidP="0075766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D22CB7" w:rsidRDefault="00AD188D" w:rsidP="007576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D188D" w:rsidRPr="00D22CB7" w:rsidTr="00596873">
        <w:trPr>
          <w:trHeight w:val="420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AD188D" w:rsidRPr="002F424F" w:rsidRDefault="00AD188D" w:rsidP="00C80DCD">
            <w:pPr>
              <w:rPr>
                <w:i/>
                <w:lang w:val="sr-Cyrl-CS"/>
              </w:rPr>
            </w:pPr>
            <w:r w:rsidRPr="002F424F">
              <w:rPr>
                <w:i/>
                <w:lang w:val="sr-Cyrl-CS"/>
              </w:rPr>
              <w:t>Средства из буџета (01)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Pr="002F424F" w:rsidRDefault="00AD188D" w:rsidP="00596873">
            <w:pPr>
              <w:jc w:val="right"/>
              <w:rPr>
                <w:i/>
              </w:rPr>
            </w:pPr>
            <w:r w:rsidRPr="002F424F">
              <w:rPr>
                <w:i/>
              </w:rPr>
              <w:t>1.430.000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D188D" w:rsidRPr="002F424F" w:rsidRDefault="00AD188D" w:rsidP="00596873">
            <w:pPr>
              <w:jc w:val="right"/>
              <w:rPr>
                <w:i/>
              </w:rPr>
            </w:pPr>
            <w:r w:rsidRPr="002F424F">
              <w:rPr>
                <w:i/>
              </w:rPr>
              <w:t>1.427.900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2F424F" w:rsidRDefault="00AD188D" w:rsidP="00596873">
            <w:pPr>
              <w:jc w:val="right"/>
              <w:rPr>
                <w:bCs/>
                <w:i/>
                <w:color w:val="000000"/>
              </w:rPr>
            </w:pPr>
            <w:r w:rsidRPr="002F424F">
              <w:rPr>
                <w:bCs/>
                <w:i/>
                <w:color w:val="000000"/>
              </w:rPr>
              <w:t>1.653.800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2F424F" w:rsidRDefault="00AD188D" w:rsidP="000F77F7">
            <w:pPr>
              <w:jc w:val="right"/>
              <w:rPr>
                <w:bCs/>
                <w:i/>
                <w:color w:val="000000"/>
              </w:rPr>
            </w:pPr>
            <w:r w:rsidRPr="002F424F">
              <w:rPr>
                <w:bCs/>
                <w:i/>
                <w:color w:val="000000"/>
              </w:rPr>
              <w:t>1.707.800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2F424F" w:rsidRDefault="00AD188D" w:rsidP="000F77F7">
            <w:pPr>
              <w:jc w:val="right"/>
              <w:rPr>
                <w:bCs/>
                <w:i/>
                <w:color w:val="000000"/>
              </w:rPr>
            </w:pPr>
            <w:r w:rsidRPr="002F424F">
              <w:rPr>
                <w:bCs/>
                <w:i/>
                <w:color w:val="000000"/>
              </w:rPr>
              <w:t>1.769.800</w:t>
            </w:r>
          </w:p>
        </w:tc>
      </w:tr>
      <w:tr w:rsidR="00AD188D" w:rsidRPr="00D22CB7" w:rsidTr="00596873">
        <w:trPr>
          <w:trHeight w:val="420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AD188D" w:rsidRPr="002F424F" w:rsidRDefault="00AD188D" w:rsidP="00C80DCD">
            <w:pPr>
              <w:rPr>
                <w:i/>
                <w:lang w:val="sr-Cyrl-CS"/>
              </w:rPr>
            </w:pPr>
            <w:r w:rsidRPr="002F424F">
              <w:rPr>
                <w:i/>
                <w:lang w:val="sr-Cyrl-CS"/>
              </w:rPr>
              <w:t>Трансфери од др. нивоа власти (07)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Pr="002F424F" w:rsidRDefault="00AD188D" w:rsidP="00596873">
            <w:pPr>
              <w:jc w:val="right"/>
              <w:rPr>
                <w:i/>
              </w:rPr>
            </w:pPr>
            <w:r w:rsidRPr="002F424F">
              <w:rPr>
                <w:i/>
              </w:rPr>
              <w:t>13.000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D188D" w:rsidRPr="002F424F" w:rsidRDefault="00AD188D" w:rsidP="00596873">
            <w:pPr>
              <w:jc w:val="right"/>
              <w:rPr>
                <w:i/>
              </w:rPr>
            </w:pPr>
            <w:r w:rsidRPr="002F424F">
              <w:rPr>
                <w:i/>
              </w:rPr>
              <w:t>28.970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2F424F" w:rsidRDefault="00AD188D" w:rsidP="00596873">
            <w:pPr>
              <w:jc w:val="right"/>
              <w:rPr>
                <w:bCs/>
                <w:i/>
                <w:color w:val="000000"/>
              </w:rPr>
            </w:pPr>
            <w:r w:rsidRPr="002F424F">
              <w:rPr>
                <w:bCs/>
                <w:i/>
                <w:color w:val="000000"/>
              </w:rPr>
              <w:t>15.000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2F424F" w:rsidRDefault="00AD188D" w:rsidP="00EE58D1">
            <w:pPr>
              <w:jc w:val="right"/>
              <w:rPr>
                <w:bCs/>
                <w:i/>
                <w:color w:val="000000"/>
              </w:rPr>
            </w:pPr>
            <w:r w:rsidRPr="002F424F">
              <w:rPr>
                <w:bCs/>
                <w:i/>
                <w:color w:val="000000"/>
              </w:rPr>
              <w:t>16.000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2F424F" w:rsidRDefault="00AD188D" w:rsidP="00EE58D1">
            <w:pPr>
              <w:jc w:val="right"/>
              <w:rPr>
                <w:bCs/>
                <w:i/>
                <w:color w:val="000000"/>
              </w:rPr>
            </w:pPr>
            <w:r w:rsidRPr="002F424F">
              <w:rPr>
                <w:bCs/>
                <w:i/>
                <w:color w:val="000000"/>
              </w:rPr>
              <w:t>17.000</w:t>
            </w:r>
          </w:p>
        </w:tc>
      </w:tr>
      <w:tr w:rsidR="00AD188D" w:rsidRPr="00D22CB7" w:rsidTr="00596873">
        <w:trPr>
          <w:trHeight w:val="420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AD188D" w:rsidRPr="002F424F" w:rsidRDefault="00AD188D" w:rsidP="00C80DCD">
            <w:pPr>
              <w:rPr>
                <w:i/>
                <w:lang w:val="sr-Cyrl-CS"/>
              </w:rPr>
            </w:pPr>
            <w:r w:rsidRPr="002F424F">
              <w:rPr>
                <w:i/>
                <w:lang w:val="sr-Cyrl-CS"/>
              </w:rPr>
              <w:t>Донације (08)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Pr="002F424F" w:rsidRDefault="00AD188D" w:rsidP="00596873">
            <w:pPr>
              <w:jc w:val="right"/>
              <w:rPr>
                <w:i/>
              </w:rPr>
            </w:pPr>
            <w:r w:rsidRPr="002F424F">
              <w:rPr>
                <w:i/>
              </w:rPr>
              <w:t>14.000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D188D" w:rsidRPr="002F424F" w:rsidRDefault="00AD188D" w:rsidP="00596873">
            <w:pPr>
              <w:jc w:val="right"/>
              <w:rPr>
                <w:i/>
              </w:rPr>
            </w:pPr>
            <w:r w:rsidRPr="002F424F">
              <w:rPr>
                <w:i/>
              </w:rPr>
              <w:t>14.000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2F424F" w:rsidRDefault="00AD188D" w:rsidP="00596873">
            <w:pPr>
              <w:jc w:val="right"/>
              <w:rPr>
                <w:bCs/>
                <w:i/>
                <w:color w:val="000000"/>
              </w:rPr>
            </w:pPr>
            <w:r w:rsidRPr="002F424F">
              <w:rPr>
                <w:bCs/>
                <w:i/>
                <w:color w:val="000000"/>
              </w:rPr>
              <w:t>14.000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2F424F" w:rsidRDefault="00AD188D" w:rsidP="00EE58D1">
            <w:pPr>
              <w:jc w:val="right"/>
              <w:rPr>
                <w:bCs/>
                <w:i/>
                <w:color w:val="000000"/>
              </w:rPr>
            </w:pPr>
            <w:r w:rsidRPr="002F424F">
              <w:rPr>
                <w:bCs/>
                <w:i/>
                <w:color w:val="000000"/>
              </w:rPr>
              <w:t>14.000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2F424F" w:rsidRDefault="00AD188D" w:rsidP="00EE58D1">
            <w:pPr>
              <w:jc w:val="right"/>
              <w:rPr>
                <w:bCs/>
                <w:i/>
                <w:color w:val="000000"/>
              </w:rPr>
            </w:pPr>
            <w:r w:rsidRPr="002F424F">
              <w:rPr>
                <w:bCs/>
                <w:i/>
                <w:color w:val="000000"/>
              </w:rPr>
              <w:t>15.000</w:t>
            </w:r>
          </w:p>
        </w:tc>
      </w:tr>
      <w:tr w:rsidR="00AD188D" w:rsidRPr="00D22CB7" w:rsidTr="00596873">
        <w:trPr>
          <w:trHeight w:val="420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AD188D" w:rsidRPr="002F424F" w:rsidRDefault="00AD188D" w:rsidP="00C80DCD">
            <w:pPr>
              <w:rPr>
                <w:i/>
                <w:lang w:val="sr-Cyrl-CS"/>
              </w:rPr>
            </w:pPr>
            <w:r w:rsidRPr="002F424F">
              <w:rPr>
                <w:i/>
                <w:lang w:val="sr-Cyrl-CS"/>
              </w:rPr>
              <w:t>Неутрошена сред</w:t>
            </w:r>
            <w:r w:rsidR="009A6F95">
              <w:rPr>
                <w:i/>
                <w:lang w:val="sr-Cyrl-CS"/>
              </w:rPr>
              <w:t>.</w:t>
            </w:r>
            <w:r w:rsidRPr="002F424F">
              <w:rPr>
                <w:i/>
                <w:lang w:val="sr-Cyrl-CS"/>
              </w:rPr>
              <w:t xml:space="preserve"> из претх.</w:t>
            </w:r>
            <w:r w:rsidR="004D3E06">
              <w:rPr>
                <w:i/>
                <w:lang w:val="sr-Cyrl-CS"/>
              </w:rPr>
              <w:t xml:space="preserve"> </w:t>
            </w:r>
            <w:r w:rsidRPr="002F424F">
              <w:rPr>
                <w:i/>
                <w:lang w:val="sr-Cyrl-CS"/>
              </w:rPr>
              <w:t>год. (13)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188D" w:rsidRPr="002F424F" w:rsidRDefault="00AD188D" w:rsidP="00596873">
            <w:pPr>
              <w:jc w:val="right"/>
              <w:rPr>
                <w:i/>
              </w:rPr>
            </w:pPr>
            <w:r w:rsidRPr="002F424F">
              <w:rPr>
                <w:i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D188D" w:rsidRPr="002F424F" w:rsidRDefault="00AD188D" w:rsidP="00596873">
            <w:pPr>
              <w:jc w:val="right"/>
              <w:rPr>
                <w:i/>
              </w:rPr>
            </w:pPr>
            <w:r w:rsidRPr="002F424F">
              <w:rPr>
                <w:i/>
              </w:rPr>
              <w:t>263.390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2F424F" w:rsidRDefault="00AD188D" w:rsidP="00596873">
            <w:pPr>
              <w:jc w:val="right"/>
              <w:rPr>
                <w:bCs/>
                <w:i/>
                <w:color w:val="000000"/>
              </w:rPr>
            </w:pPr>
            <w:r w:rsidRPr="002F424F">
              <w:rPr>
                <w:bCs/>
                <w:i/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2F424F" w:rsidRDefault="00AD188D" w:rsidP="00757665">
            <w:pPr>
              <w:jc w:val="right"/>
              <w:rPr>
                <w:b/>
                <w:i/>
                <w:sz w:val="20"/>
                <w:szCs w:val="20"/>
              </w:rPr>
            </w:pPr>
            <w:r w:rsidRPr="002F424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D188D" w:rsidRPr="002F424F" w:rsidRDefault="00AD188D" w:rsidP="00757665">
            <w:pPr>
              <w:jc w:val="right"/>
              <w:rPr>
                <w:b/>
                <w:i/>
                <w:sz w:val="20"/>
                <w:szCs w:val="20"/>
              </w:rPr>
            </w:pPr>
            <w:r w:rsidRPr="002F424F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D188D" w:rsidRPr="00D22CB7" w:rsidTr="00EE7BA4">
        <w:trPr>
          <w:trHeight w:val="420"/>
        </w:trPr>
        <w:tc>
          <w:tcPr>
            <w:tcW w:w="4140" w:type="dxa"/>
            <w:gridSpan w:val="2"/>
            <w:shd w:val="clear" w:color="auto" w:fill="FABF8F" w:themeFill="accent6" w:themeFillTint="99"/>
            <w:vAlign w:val="center"/>
          </w:tcPr>
          <w:p w:rsidR="00AD188D" w:rsidRPr="00754956" w:rsidRDefault="00AD188D" w:rsidP="00C70EB4">
            <w:pPr>
              <w:jc w:val="center"/>
              <w:rPr>
                <w:b/>
                <w:lang w:val="sr-Cyrl-CS"/>
              </w:rPr>
            </w:pPr>
          </w:p>
          <w:p w:rsidR="00AD188D" w:rsidRPr="00754956" w:rsidRDefault="00AD188D" w:rsidP="00C70EB4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754956">
              <w:rPr>
                <w:rFonts w:eastAsiaTheme="minorHAnsi"/>
                <w:b/>
                <w:bCs/>
              </w:rPr>
              <w:t>УКУПНО</w:t>
            </w:r>
            <w:r w:rsidRPr="00754956">
              <w:rPr>
                <w:b/>
                <w:lang w:val="sr-Cyrl-CS"/>
              </w:rPr>
              <w:t>:</w:t>
            </w:r>
          </w:p>
          <w:p w:rsidR="00AD188D" w:rsidRPr="00754956" w:rsidRDefault="00AD188D" w:rsidP="00C70EB4">
            <w:pPr>
              <w:spacing w:after="12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AD188D" w:rsidRPr="00EE7BA4" w:rsidRDefault="00AD188D" w:rsidP="00C70EB4">
            <w:pPr>
              <w:jc w:val="right"/>
              <w:rPr>
                <w:b/>
              </w:rPr>
            </w:pPr>
            <w:r w:rsidRPr="00754956">
              <w:rPr>
                <w:b/>
              </w:rPr>
              <w:t>1.457.820</w:t>
            </w: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AD188D" w:rsidRPr="00EE7BA4" w:rsidRDefault="00AD188D" w:rsidP="00C70EB4">
            <w:pPr>
              <w:jc w:val="right"/>
              <w:rPr>
                <w:b/>
              </w:rPr>
            </w:pPr>
            <w:r w:rsidRPr="00111011">
              <w:rPr>
                <w:b/>
              </w:rPr>
              <w:t>1.734.260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AD188D" w:rsidRPr="00111011" w:rsidRDefault="00AD188D" w:rsidP="00C70EB4">
            <w:pPr>
              <w:jc w:val="right"/>
              <w:rPr>
                <w:b/>
                <w:bCs/>
                <w:color w:val="000000"/>
              </w:rPr>
            </w:pPr>
            <w:r w:rsidRPr="00111011">
              <w:rPr>
                <w:b/>
                <w:bCs/>
                <w:color w:val="000000"/>
              </w:rPr>
              <w:t>1.682.800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AD188D" w:rsidRPr="00695D2D" w:rsidRDefault="00AD188D" w:rsidP="00C70EB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1.737.800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AD188D" w:rsidRPr="00695D2D" w:rsidRDefault="00AD188D" w:rsidP="00C70EB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1.801.800</w:t>
            </w:r>
          </w:p>
        </w:tc>
      </w:tr>
    </w:tbl>
    <w:p w:rsidR="00DD226F" w:rsidRDefault="00DD226F" w:rsidP="008730A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sr-Cyrl-CS"/>
        </w:rPr>
      </w:pPr>
    </w:p>
    <w:p w:rsidR="001203CC" w:rsidRDefault="001203CC" w:rsidP="0075495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>
        <w:rPr>
          <w:rFonts w:eastAsiaTheme="minorHAnsi"/>
          <w:b/>
          <w:bCs/>
          <w:lang w:val="sr-Cyrl-CS"/>
        </w:rPr>
        <w:t xml:space="preserve">   </w:t>
      </w:r>
    </w:p>
    <w:p w:rsidR="003F0C62" w:rsidRPr="002F3F26" w:rsidRDefault="009E15B9" w:rsidP="008730A0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2F3F26">
        <w:rPr>
          <w:rFonts w:eastAsiaTheme="minorHAnsi"/>
          <w:b/>
          <w:bCs/>
          <w:lang w:val="sr-Cyrl-CS"/>
        </w:rPr>
        <w:t>П</w:t>
      </w:r>
      <w:r w:rsidRPr="002F3F26">
        <w:rPr>
          <w:rFonts w:eastAsiaTheme="minorHAnsi"/>
          <w:b/>
          <w:bCs/>
        </w:rPr>
        <w:t>оступак и динамика припреме буџета локалне власти и</w:t>
      </w:r>
      <w:r w:rsidRPr="002F3F26">
        <w:rPr>
          <w:rFonts w:eastAsiaTheme="minorHAnsi"/>
          <w:b/>
          <w:bCs/>
          <w:lang w:val="sr-Cyrl-CS"/>
        </w:rPr>
        <w:t xml:space="preserve"> </w:t>
      </w:r>
      <w:r w:rsidRPr="002F3F26">
        <w:rPr>
          <w:rFonts w:eastAsiaTheme="minorHAnsi"/>
          <w:b/>
          <w:bCs/>
        </w:rPr>
        <w:t xml:space="preserve">предлога финансијских планова </w:t>
      </w:r>
      <w:r w:rsidRPr="002F3F26">
        <w:rPr>
          <w:rFonts w:eastAsiaTheme="minorHAnsi"/>
          <w:b/>
          <w:bCs/>
          <w:lang w:val="sr-Cyrl-CS"/>
        </w:rPr>
        <w:t xml:space="preserve"> к</w:t>
      </w:r>
      <w:r w:rsidRPr="002F3F26">
        <w:rPr>
          <w:rFonts w:eastAsiaTheme="minorHAnsi"/>
          <w:b/>
          <w:bCs/>
        </w:rPr>
        <w:t>орисника средстава</w:t>
      </w:r>
      <w:r w:rsidRPr="002F3F26">
        <w:rPr>
          <w:rFonts w:eastAsiaTheme="minorHAnsi"/>
          <w:b/>
          <w:bCs/>
          <w:lang w:val="sr-Cyrl-CS"/>
        </w:rPr>
        <w:t xml:space="preserve"> </w:t>
      </w:r>
      <w:r w:rsidRPr="002F3F26">
        <w:rPr>
          <w:rFonts w:eastAsiaTheme="minorHAnsi"/>
          <w:b/>
          <w:bCs/>
        </w:rPr>
        <w:t>буџета локалне власти</w:t>
      </w:r>
    </w:p>
    <w:p w:rsidR="003F0C62" w:rsidRPr="002F3F26" w:rsidRDefault="003F0C62" w:rsidP="008730A0">
      <w:pPr>
        <w:jc w:val="both"/>
        <w:rPr>
          <w:lang w:val="sr-Cyrl-CS"/>
        </w:rPr>
      </w:pPr>
    </w:p>
    <w:p w:rsidR="000967A1" w:rsidRPr="002F3F26" w:rsidRDefault="00FF2232" w:rsidP="000967A1">
      <w:pPr>
        <w:spacing w:after="120"/>
        <w:ind w:firstLine="720"/>
        <w:jc w:val="both"/>
      </w:pPr>
      <w:r w:rsidRPr="002F3F26">
        <w:rPr>
          <w:lang w:val="sr-Cyrl-CS"/>
        </w:rPr>
        <w:t>Пр</w:t>
      </w:r>
      <w:r w:rsidR="0077488C" w:rsidRPr="002F3F26">
        <w:rPr>
          <w:lang w:val="sr-Cyrl-CS"/>
        </w:rPr>
        <w:t xml:space="preserve">едлог финаснијског плана за </w:t>
      </w:r>
      <w:r w:rsidR="00F661C7">
        <w:rPr>
          <w:lang w:val="sr-Cyrl-CS"/>
        </w:rPr>
        <w:t>202</w:t>
      </w:r>
      <w:r w:rsidR="00750391">
        <w:rPr>
          <w:lang w:val="sr-Cyrl-CS"/>
        </w:rPr>
        <w:t>2</w:t>
      </w:r>
      <w:r w:rsidR="00396E01">
        <w:rPr>
          <w:lang w:val="sr-Cyrl-CS"/>
        </w:rPr>
        <w:t>.</w:t>
      </w:r>
      <w:r w:rsidRPr="002F3F26">
        <w:rPr>
          <w:lang w:val="sr-Cyrl-CS"/>
        </w:rPr>
        <w:t xml:space="preserve"> годину мора да представља процену финансијских потреба корисника буџетских средстава, као и извора средстава из којих ће се ове потребе финансирати. </w:t>
      </w:r>
    </w:p>
    <w:p w:rsidR="00872ECD" w:rsidRPr="002F3F26" w:rsidRDefault="00872ECD" w:rsidP="000967A1">
      <w:pPr>
        <w:spacing w:after="120"/>
        <w:ind w:firstLine="720"/>
        <w:jc w:val="both"/>
      </w:pPr>
      <w:r w:rsidRPr="002F3F26">
        <w:t>Корисници буџетских средстава израђују предлоге финансијских планова за буџетску годину са пројекцијама</w:t>
      </w:r>
      <w:r w:rsidR="006941DF" w:rsidRPr="002F3F26">
        <w:t xml:space="preserve"> за наредне две фискалне године</w:t>
      </w:r>
      <w:r w:rsidRPr="002F3F26">
        <w:t>, без обзира да ли се капитални пројекти уговарају фазно по годинама или корисник преузима обавезе по уговору који захтева плаћање у више година.</w:t>
      </w:r>
    </w:p>
    <w:p w:rsidR="00FF2232" w:rsidRPr="002F3F26" w:rsidRDefault="00533F56" w:rsidP="000967A1">
      <w:pPr>
        <w:spacing w:after="120"/>
        <w:jc w:val="both"/>
        <w:rPr>
          <w:lang w:val="en-GB"/>
        </w:rPr>
      </w:pPr>
      <w:r>
        <w:rPr>
          <w:lang w:val="sr-Cyrl-CS"/>
        </w:rPr>
        <w:tab/>
        <w:t>Посебно</w:t>
      </w:r>
      <w:r w:rsidR="00FF2232" w:rsidRPr="002F3F26">
        <w:rPr>
          <w:lang w:val="sr-Cyrl-CS"/>
        </w:rPr>
        <w:t xml:space="preserve"> је важно да буџетски корисници у предлогу свог фина</w:t>
      </w:r>
      <w:r w:rsidR="00A9255D">
        <w:rPr>
          <w:lang w:val="sr-Cyrl-CS"/>
        </w:rPr>
        <w:t>нсијског плана, осим буџетских,</w:t>
      </w:r>
      <w:r w:rsidR="00FF2232" w:rsidRPr="002F3F26">
        <w:rPr>
          <w:lang w:val="sr-Cyrl-CS"/>
        </w:rPr>
        <w:t xml:space="preserve"> искажу и </w:t>
      </w:r>
      <w:r w:rsidR="00FF2232" w:rsidRPr="002F3F26">
        <w:rPr>
          <w:b/>
          <w:u w:val="single"/>
          <w:lang w:val="sr-Cyrl-CS"/>
        </w:rPr>
        <w:t>друге изворе финансирања</w:t>
      </w:r>
      <w:r w:rsidR="00FF2232" w:rsidRPr="002F3F26">
        <w:rPr>
          <w:lang w:val="sr-Cyrl-CS"/>
        </w:rPr>
        <w:t xml:space="preserve"> (сопствени приходи, донације и </w:t>
      </w:r>
      <w:r w:rsidR="00FF2232" w:rsidRPr="002F3F26">
        <w:rPr>
          <w:lang w:val="sr-Cyrl-CS"/>
        </w:rPr>
        <w:lastRenderedPageBreak/>
        <w:t>сл.). Услов за коришћење остварених сопствених прихода за одређену намену биће да је расход планиран у буџету</w:t>
      </w:r>
      <w:r w:rsidR="002560B3" w:rsidRPr="002F3F26">
        <w:rPr>
          <w:lang w:val="en-GB"/>
        </w:rPr>
        <w:t>.</w:t>
      </w:r>
    </w:p>
    <w:p w:rsidR="0068497A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ab/>
      </w:r>
    </w:p>
    <w:p w:rsidR="007B533A" w:rsidRPr="002F3F26" w:rsidRDefault="007B533A" w:rsidP="008730A0">
      <w:pPr>
        <w:ind w:firstLine="720"/>
        <w:jc w:val="both"/>
        <w:rPr>
          <w:rFonts w:eastAsiaTheme="minorHAnsi"/>
          <w:b/>
          <w:bCs/>
          <w:lang w:val="sr-Cyrl-CS"/>
        </w:rPr>
      </w:pPr>
      <w:r w:rsidRPr="002F3F26">
        <w:rPr>
          <w:rFonts w:eastAsiaTheme="minorHAnsi"/>
          <w:b/>
          <w:bCs/>
        </w:rPr>
        <w:t>Предлог финансијског плана обухвата:</w:t>
      </w:r>
    </w:p>
    <w:p w:rsidR="007B533A" w:rsidRPr="002F3F26" w:rsidRDefault="007B533A" w:rsidP="008730A0">
      <w:pPr>
        <w:jc w:val="both"/>
        <w:rPr>
          <w:rFonts w:eastAsiaTheme="minorHAnsi"/>
          <w:b/>
          <w:bCs/>
          <w:lang w:val="sr-Cyrl-CS"/>
        </w:rPr>
      </w:pPr>
    </w:p>
    <w:p w:rsidR="007B533A" w:rsidRPr="002F3F26" w:rsidRDefault="000E1C39" w:rsidP="008730A0">
      <w:pPr>
        <w:autoSpaceDE w:val="0"/>
        <w:autoSpaceDN w:val="0"/>
        <w:adjustRightInd w:val="0"/>
        <w:spacing w:after="120"/>
        <w:jc w:val="both"/>
        <w:rPr>
          <w:rFonts w:eastAsiaTheme="minorHAnsi"/>
          <w:bCs/>
          <w:lang w:val="sr-Cyrl-CS"/>
        </w:rPr>
      </w:pPr>
      <w:r>
        <w:rPr>
          <w:rFonts w:eastAsiaTheme="minorHAnsi"/>
          <w:bCs/>
        </w:rPr>
        <w:tab/>
      </w:r>
      <w:r w:rsidR="007B533A" w:rsidRPr="002F3F26">
        <w:rPr>
          <w:rFonts w:eastAsiaTheme="minorHAnsi"/>
          <w:bCs/>
        </w:rPr>
        <w:t>1)</w:t>
      </w:r>
      <w:r w:rsidR="007B533A" w:rsidRPr="002F3F26">
        <w:rPr>
          <w:rFonts w:eastAsiaTheme="minorHAnsi"/>
          <w:b/>
          <w:bCs/>
        </w:rPr>
        <w:t xml:space="preserve"> </w:t>
      </w:r>
      <w:r w:rsidR="007B533A" w:rsidRPr="002F3F26">
        <w:rPr>
          <w:rFonts w:eastAsiaTheme="minorHAnsi"/>
          <w:bCs/>
        </w:rPr>
        <w:t xml:space="preserve">Расходе и издатке за </w:t>
      </w:r>
      <w:r w:rsidR="004D7CA8">
        <w:rPr>
          <w:rFonts w:eastAsiaTheme="minorHAnsi"/>
          <w:bCs/>
        </w:rPr>
        <w:t>2</w:t>
      </w:r>
      <w:r w:rsidR="008F7D63">
        <w:rPr>
          <w:rFonts w:eastAsiaTheme="minorHAnsi"/>
          <w:bCs/>
        </w:rPr>
        <w:t>02</w:t>
      </w:r>
      <w:r w:rsidR="00C12F79">
        <w:rPr>
          <w:rFonts w:eastAsiaTheme="minorHAnsi"/>
          <w:bCs/>
        </w:rPr>
        <w:t>2</w:t>
      </w:r>
      <w:r w:rsidR="007E4E43">
        <w:rPr>
          <w:rFonts w:eastAsiaTheme="minorHAnsi"/>
          <w:bCs/>
        </w:rPr>
        <w:t>. године</w:t>
      </w:r>
      <w:r w:rsidR="007B533A" w:rsidRPr="002F3F26">
        <w:rPr>
          <w:rFonts w:eastAsiaTheme="minorHAnsi"/>
          <w:bCs/>
        </w:rPr>
        <w:t xml:space="preserve"> и две наредне године, исказане по </w:t>
      </w:r>
      <w:r w:rsidR="00D35E5D">
        <w:rPr>
          <w:rFonts w:eastAsiaTheme="minorHAnsi"/>
          <w:bCs/>
        </w:rPr>
        <w:t xml:space="preserve">економској </w:t>
      </w:r>
      <w:r w:rsidR="007B533A" w:rsidRPr="002F3F26">
        <w:rPr>
          <w:rFonts w:eastAsiaTheme="minorHAnsi"/>
          <w:bCs/>
        </w:rPr>
        <w:t>класификацији (у складу са обрасцима који су саставни део овог упутства)</w:t>
      </w:r>
      <w:r w:rsidR="007B533A" w:rsidRPr="002F3F26">
        <w:rPr>
          <w:rFonts w:eastAsiaTheme="minorHAnsi"/>
          <w:bCs/>
          <w:lang w:val="sr-Cyrl-CS"/>
        </w:rPr>
        <w:t>,</w:t>
      </w:r>
      <w:r w:rsidR="007B533A" w:rsidRPr="002F3F26">
        <w:rPr>
          <w:rFonts w:eastAsiaTheme="minorHAnsi"/>
          <w:bCs/>
        </w:rPr>
        <w:t xml:space="preserve"> као и по</w:t>
      </w:r>
      <w:r w:rsidR="007B533A" w:rsidRPr="002F3F26">
        <w:rPr>
          <w:rFonts w:eastAsiaTheme="minorHAnsi"/>
          <w:bCs/>
          <w:lang w:val="sr-Cyrl-CS"/>
        </w:rPr>
        <w:t xml:space="preserve"> </w:t>
      </w:r>
      <w:r w:rsidR="007B533A" w:rsidRPr="002F3F26">
        <w:rPr>
          <w:rFonts w:eastAsiaTheme="minorHAnsi"/>
          <w:bCs/>
        </w:rPr>
        <w:t>програмској класификацији</w:t>
      </w:r>
      <w:r w:rsidR="007B533A" w:rsidRPr="002F3F26">
        <w:rPr>
          <w:rFonts w:eastAsiaTheme="minorHAnsi"/>
          <w:bCs/>
          <w:lang w:val="sr-Cyrl-CS"/>
        </w:rPr>
        <w:t>;</w:t>
      </w:r>
    </w:p>
    <w:p w:rsidR="007B533A" w:rsidRPr="002F3F26" w:rsidRDefault="000E1C39" w:rsidP="008730A0">
      <w:pPr>
        <w:autoSpaceDE w:val="0"/>
        <w:autoSpaceDN w:val="0"/>
        <w:adjustRightInd w:val="0"/>
        <w:spacing w:after="120"/>
        <w:jc w:val="both"/>
        <w:rPr>
          <w:rFonts w:eastAsiaTheme="minorHAnsi"/>
          <w:bCs/>
          <w:lang w:val="sr-Cyrl-CS"/>
        </w:rPr>
      </w:pPr>
      <w:r>
        <w:rPr>
          <w:rFonts w:eastAsiaTheme="minorHAnsi"/>
          <w:bCs/>
        </w:rPr>
        <w:tab/>
      </w:r>
      <w:r w:rsidR="007B533A" w:rsidRPr="002F3F26">
        <w:rPr>
          <w:rFonts w:eastAsiaTheme="minorHAnsi"/>
          <w:bCs/>
        </w:rPr>
        <w:t>2) Детаљно писано образложење расхода и издатака, као и извора финансирања</w:t>
      </w:r>
      <w:r w:rsidR="007B533A" w:rsidRPr="002F3F26">
        <w:rPr>
          <w:rFonts w:eastAsiaTheme="minorHAnsi"/>
          <w:bCs/>
          <w:lang w:val="sr-Cyrl-CS"/>
        </w:rPr>
        <w:t>;</w:t>
      </w:r>
    </w:p>
    <w:p w:rsidR="007B533A" w:rsidRPr="002F3F26" w:rsidRDefault="000E1C39" w:rsidP="008730A0">
      <w:pPr>
        <w:autoSpaceDE w:val="0"/>
        <w:autoSpaceDN w:val="0"/>
        <w:adjustRightInd w:val="0"/>
        <w:spacing w:after="120"/>
        <w:jc w:val="both"/>
        <w:rPr>
          <w:rFonts w:eastAsiaTheme="minorHAnsi"/>
          <w:bCs/>
          <w:lang w:val="sr-Cyrl-CS"/>
        </w:rPr>
      </w:pPr>
      <w:r>
        <w:rPr>
          <w:rFonts w:eastAsiaTheme="minorHAnsi"/>
          <w:bCs/>
        </w:rPr>
        <w:tab/>
      </w:r>
      <w:r w:rsidR="00577A2A">
        <w:rPr>
          <w:rFonts w:eastAsiaTheme="minorHAnsi"/>
          <w:bCs/>
        </w:rPr>
        <w:t>3) Детаљно писану израду</w:t>
      </w:r>
      <w:r w:rsidR="007B533A" w:rsidRPr="002F3F26">
        <w:rPr>
          <w:rFonts w:eastAsiaTheme="minorHAnsi"/>
          <w:bCs/>
        </w:rPr>
        <w:t xml:space="preserve"> програмског дела буџета</w:t>
      </w:r>
      <w:r w:rsidR="007B533A" w:rsidRPr="002F3F26">
        <w:rPr>
          <w:rFonts w:eastAsiaTheme="minorHAnsi"/>
          <w:bCs/>
          <w:lang w:val="sr-Cyrl-CS"/>
        </w:rPr>
        <w:t>;</w:t>
      </w:r>
    </w:p>
    <w:p w:rsidR="007B533A" w:rsidRPr="00010BFC" w:rsidRDefault="000E1C39" w:rsidP="008730A0">
      <w:pPr>
        <w:autoSpaceDE w:val="0"/>
        <w:autoSpaceDN w:val="0"/>
        <w:adjustRightInd w:val="0"/>
        <w:spacing w:after="120"/>
        <w:jc w:val="both"/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8024E8">
        <w:rPr>
          <w:rFonts w:eastAsiaTheme="minorHAnsi"/>
          <w:bCs/>
        </w:rPr>
        <w:t xml:space="preserve">4) </w:t>
      </w:r>
      <w:r w:rsidR="00010BFC">
        <w:rPr>
          <w:rFonts w:eastAsiaTheme="minorHAnsi"/>
          <w:bCs/>
        </w:rPr>
        <w:t>Предлог капиталних пројеката;</w:t>
      </w:r>
    </w:p>
    <w:p w:rsidR="00007101" w:rsidRDefault="000E1C39" w:rsidP="008712F1">
      <w:pPr>
        <w:autoSpaceDE w:val="0"/>
        <w:autoSpaceDN w:val="0"/>
        <w:adjustRightInd w:val="0"/>
        <w:spacing w:after="120"/>
        <w:jc w:val="both"/>
        <w:rPr>
          <w:rFonts w:eastAsiaTheme="minorHAnsi"/>
          <w:bCs/>
          <w:lang w:val="sr-Cyrl-CS"/>
        </w:rPr>
      </w:pPr>
      <w:r>
        <w:rPr>
          <w:rFonts w:eastAsiaTheme="minorHAnsi"/>
          <w:bCs/>
        </w:rPr>
        <w:tab/>
      </w:r>
      <w:r w:rsidR="007B533A" w:rsidRPr="002F3F26">
        <w:rPr>
          <w:rFonts w:eastAsiaTheme="minorHAnsi"/>
          <w:bCs/>
        </w:rPr>
        <w:t xml:space="preserve">5) Предлог </w:t>
      </w:r>
      <w:r w:rsidR="00C35798">
        <w:rPr>
          <w:rFonts w:eastAsiaTheme="minorHAnsi"/>
          <w:bCs/>
        </w:rPr>
        <w:t>проје</w:t>
      </w:r>
      <w:r w:rsidR="007B533A" w:rsidRPr="002F3F26">
        <w:rPr>
          <w:rFonts w:eastAsiaTheme="minorHAnsi"/>
          <w:bCs/>
        </w:rPr>
        <w:t>ката развојне по</w:t>
      </w:r>
      <w:r w:rsidR="008F7D63">
        <w:rPr>
          <w:rFonts w:eastAsiaTheme="minorHAnsi"/>
          <w:bCs/>
        </w:rPr>
        <w:t>моћи ЕУ који се планирају у 202</w:t>
      </w:r>
      <w:r w:rsidR="00C12F79">
        <w:rPr>
          <w:rFonts w:eastAsiaTheme="minorHAnsi"/>
          <w:bCs/>
        </w:rPr>
        <w:t>2</w:t>
      </w:r>
      <w:r w:rsidR="007B533A" w:rsidRPr="002F3F26">
        <w:rPr>
          <w:rFonts w:eastAsiaTheme="minorHAnsi"/>
          <w:bCs/>
        </w:rPr>
        <w:t>.</w:t>
      </w:r>
      <w:r w:rsidR="007B533A" w:rsidRPr="002F3F26">
        <w:rPr>
          <w:rFonts w:eastAsiaTheme="minorHAnsi"/>
          <w:bCs/>
          <w:lang w:val="sr-Cyrl-CS"/>
        </w:rPr>
        <w:t xml:space="preserve"> </w:t>
      </w:r>
      <w:r w:rsidR="007B533A" w:rsidRPr="002F3F26">
        <w:rPr>
          <w:rFonts w:eastAsiaTheme="minorHAnsi"/>
          <w:bCs/>
        </w:rPr>
        <w:t>г</w:t>
      </w:r>
      <w:r w:rsidR="007B533A" w:rsidRPr="002F3F26">
        <w:rPr>
          <w:rFonts w:eastAsiaTheme="minorHAnsi"/>
          <w:bCs/>
          <w:lang w:val="sr-Cyrl-CS"/>
        </w:rPr>
        <w:t>одини</w:t>
      </w:r>
      <w:r w:rsidR="007B533A" w:rsidRPr="002F3F26">
        <w:rPr>
          <w:rFonts w:eastAsiaTheme="minorHAnsi"/>
          <w:bCs/>
        </w:rPr>
        <w:t>, односно</w:t>
      </w:r>
      <w:r w:rsidR="007B533A" w:rsidRPr="002F3F26">
        <w:rPr>
          <w:rFonts w:eastAsiaTheme="minorHAnsi"/>
          <w:bCs/>
          <w:lang w:val="sr-Cyrl-CS"/>
        </w:rPr>
        <w:t xml:space="preserve"> </w:t>
      </w:r>
      <w:r w:rsidR="007B533A" w:rsidRPr="002F3F26">
        <w:rPr>
          <w:rFonts w:eastAsiaTheme="minorHAnsi"/>
          <w:bCs/>
        </w:rPr>
        <w:t>пројекти који ће бити реализовани у 20</w:t>
      </w:r>
      <w:r w:rsidR="008F7D63">
        <w:rPr>
          <w:rFonts w:eastAsiaTheme="minorHAnsi"/>
          <w:bCs/>
        </w:rPr>
        <w:t>2</w:t>
      </w:r>
      <w:r w:rsidR="00C12F79">
        <w:rPr>
          <w:rFonts w:eastAsiaTheme="minorHAnsi"/>
          <w:bCs/>
        </w:rPr>
        <w:t>2</w:t>
      </w:r>
      <w:r w:rsidR="007B533A" w:rsidRPr="002F3F26">
        <w:rPr>
          <w:rFonts w:eastAsiaTheme="minorHAnsi"/>
          <w:bCs/>
        </w:rPr>
        <w:t>. г</w:t>
      </w:r>
      <w:r w:rsidR="007B533A" w:rsidRPr="002F3F26">
        <w:rPr>
          <w:rFonts w:eastAsiaTheme="minorHAnsi"/>
          <w:bCs/>
          <w:lang w:val="sr-Cyrl-CS"/>
        </w:rPr>
        <w:t>одини</w:t>
      </w:r>
      <w:r w:rsidR="007B533A" w:rsidRPr="002F3F26">
        <w:rPr>
          <w:rFonts w:eastAsiaTheme="minorHAnsi"/>
          <w:bCs/>
        </w:rPr>
        <w:t xml:space="preserve"> и две наредне године (предлог доставити у</w:t>
      </w:r>
      <w:r w:rsidR="007B533A" w:rsidRPr="002F3F26">
        <w:rPr>
          <w:rFonts w:eastAsiaTheme="minorHAnsi"/>
          <w:bCs/>
          <w:lang w:val="sr-Cyrl-CS"/>
        </w:rPr>
        <w:t xml:space="preserve"> </w:t>
      </w:r>
      <w:r w:rsidR="007B533A" w:rsidRPr="002F3F26">
        <w:rPr>
          <w:rFonts w:eastAsiaTheme="minorHAnsi"/>
          <w:bCs/>
        </w:rPr>
        <w:t>слободној форми са следећим обавезним елементима: назив пројекта, циљ пројекта,</w:t>
      </w:r>
      <w:r w:rsidR="00D35E5D">
        <w:rPr>
          <w:rFonts w:eastAsiaTheme="minorHAnsi"/>
          <w:bCs/>
          <w:lang w:val="sr-Cyrl-CS"/>
        </w:rPr>
        <w:t xml:space="preserve"> </w:t>
      </w:r>
      <w:r w:rsidR="007B533A" w:rsidRPr="002F3F26">
        <w:rPr>
          <w:rFonts w:eastAsiaTheme="minorHAnsi"/>
          <w:bCs/>
        </w:rPr>
        <w:t>опис пројекта, буџет пројекта, финансијско учешће у пројекту, рокови почетка изавршетка пројекта, носилац</w:t>
      </w:r>
      <w:r w:rsidR="007B533A" w:rsidRPr="002F3F26">
        <w:rPr>
          <w:rFonts w:eastAsiaTheme="minorHAnsi"/>
          <w:b/>
          <w:bCs/>
        </w:rPr>
        <w:t xml:space="preserve"> </w:t>
      </w:r>
      <w:r w:rsidR="007B533A" w:rsidRPr="002F3F26">
        <w:rPr>
          <w:rFonts w:eastAsiaTheme="minorHAnsi"/>
          <w:bCs/>
        </w:rPr>
        <w:t>пројекта и партнери)</w:t>
      </w:r>
      <w:r w:rsidR="0026684F">
        <w:rPr>
          <w:rFonts w:eastAsiaTheme="minorHAnsi"/>
          <w:bCs/>
          <w:lang w:val="sr-Cyrl-CS"/>
        </w:rPr>
        <w:t>;</w:t>
      </w:r>
    </w:p>
    <w:p w:rsidR="0026684F" w:rsidRPr="006A1C70" w:rsidRDefault="000E1C39" w:rsidP="008730A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</w:rPr>
        <w:tab/>
      </w:r>
      <w:r w:rsidR="0026684F">
        <w:rPr>
          <w:rFonts w:eastAsiaTheme="minorHAnsi"/>
          <w:bCs/>
          <w:lang w:val="sr-Cyrl-CS"/>
        </w:rPr>
        <w:t xml:space="preserve">6) </w:t>
      </w:r>
      <w:r w:rsidR="0026684F" w:rsidRPr="006A1C70">
        <w:rPr>
          <w:b/>
          <w:u w:val="single"/>
        </w:rPr>
        <w:t xml:space="preserve">извештај о учинку програма за првих шест месеци </w:t>
      </w:r>
      <w:r w:rsidR="008024E8">
        <w:rPr>
          <w:b/>
          <w:u w:val="single"/>
        </w:rPr>
        <w:t>20</w:t>
      </w:r>
      <w:r w:rsidR="008F7D63">
        <w:rPr>
          <w:b/>
          <w:u w:val="single"/>
        </w:rPr>
        <w:t>2</w:t>
      </w:r>
      <w:r w:rsidR="004566F4">
        <w:rPr>
          <w:b/>
          <w:u w:val="single"/>
        </w:rPr>
        <w:t>1</w:t>
      </w:r>
      <w:r w:rsidR="00D35E5D" w:rsidRPr="006A1C70">
        <w:rPr>
          <w:b/>
          <w:u w:val="single"/>
        </w:rPr>
        <w:t xml:space="preserve">. </w:t>
      </w:r>
      <w:r w:rsidR="0026684F" w:rsidRPr="006A1C70">
        <w:rPr>
          <w:b/>
          <w:u w:val="single"/>
        </w:rPr>
        <w:t>године</w:t>
      </w:r>
      <w:r w:rsidR="0026684F" w:rsidRPr="006A1C70">
        <w:rPr>
          <w:b/>
        </w:rPr>
        <w:t>.</w:t>
      </w:r>
    </w:p>
    <w:p w:rsidR="00953E33" w:rsidRPr="00795F47" w:rsidRDefault="00C35798" w:rsidP="008730A0">
      <w:pPr>
        <w:pStyle w:val="normal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Предлог</w:t>
      </w:r>
      <w:r w:rsidR="00953E33" w:rsidRPr="00542312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 xml:space="preserve"> </w:t>
      </w:r>
      <w:r w:rsidR="00953E33" w:rsidRPr="00542312">
        <w:rPr>
          <w:rFonts w:ascii="Times New Roman" w:eastAsiaTheme="minorHAnsi" w:hAnsi="Times New Roman" w:cs="Times New Roman"/>
          <w:b/>
          <w:sz w:val="24"/>
          <w:szCs w:val="24"/>
        </w:rPr>
        <w:t>финансијских планова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C35798">
        <w:rPr>
          <w:rFonts w:ascii="Times New Roman" w:hAnsi="Times New Roman" w:cs="Times New Roman"/>
          <w:b/>
          <w:sz w:val="24"/>
          <w:szCs w:val="24"/>
        </w:rPr>
        <w:t>мора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F47" w:rsidRPr="00795F47">
        <w:rPr>
          <w:rFonts w:ascii="Times New Roman" w:hAnsi="Times New Roman" w:cs="Times New Roman"/>
          <w:b/>
          <w:sz w:val="24"/>
          <w:szCs w:val="24"/>
        </w:rPr>
        <w:t xml:space="preserve">садржи </w:t>
      </w:r>
      <w:r w:rsidR="00953E33" w:rsidRPr="006A1C70">
        <w:rPr>
          <w:rFonts w:ascii="Times New Roman" w:hAnsi="Times New Roman" w:cs="Times New Roman"/>
          <w:b/>
          <w:sz w:val="24"/>
          <w:szCs w:val="24"/>
          <w:u w:val="single"/>
        </w:rPr>
        <w:t>образложење</w:t>
      </w:r>
      <w:r w:rsidR="00953E33" w:rsidRPr="00795F47">
        <w:rPr>
          <w:rFonts w:ascii="Times New Roman" w:hAnsi="Times New Roman" w:cs="Times New Roman"/>
          <w:b/>
          <w:sz w:val="24"/>
          <w:szCs w:val="24"/>
        </w:rPr>
        <w:t xml:space="preserve"> општег дела </w:t>
      </w:r>
      <w:r w:rsidR="00795F47" w:rsidRPr="00795F47">
        <w:rPr>
          <w:rFonts w:ascii="Times New Roman" w:eastAsiaTheme="minorHAnsi" w:hAnsi="Times New Roman" w:cs="Times New Roman"/>
          <w:b/>
          <w:sz w:val="24"/>
          <w:szCs w:val="24"/>
        </w:rPr>
        <w:t>финансијског плана и</w:t>
      </w:r>
      <w:r w:rsidR="00953E33" w:rsidRPr="00795F47">
        <w:rPr>
          <w:rFonts w:ascii="Times New Roman" w:hAnsi="Times New Roman" w:cs="Times New Roman"/>
          <w:b/>
          <w:sz w:val="24"/>
          <w:szCs w:val="24"/>
        </w:rPr>
        <w:t xml:space="preserve"> програмске информације.</w:t>
      </w:r>
    </w:p>
    <w:p w:rsidR="00BE6FDF" w:rsidRDefault="00953E33" w:rsidP="008730A0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Чланом 28. </w:t>
      </w:r>
      <w:r w:rsidR="00542312" w:rsidRPr="00542312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542312">
        <w:rPr>
          <w:rFonts w:ascii="Times New Roman" w:hAnsi="Times New Roman" w:cs="Times New Roman"/>
          <w:sz w:val="24"/>
          <w:szCs w:val="24"/>
        </w:rPr>
        <w:t>а</w:t>
      </w:r>
      <w:r w:rsidR="00542312" w:rsidRPr="00542312">
        <w:rPr>
          <w:rFonts w:ascii="Times New Roman" w:hAnsi="Times New Roman" w:cs="Times New Roman"/>
          <w:sz w:val="24"/>
          <w:szCs w:val="24"/>
          <w:lang w:val="ru-RU"/>
        </w:rPr>
        <w:t xml:space="preserve"> о буџетском систему </w:t>
      </w:r>
      <w:r w:rsidR="00542312" w:rsidRPr="00542312">
        <w:rPr>
          <w:rFonts w:ascii="Times New Roman" w:hAnsi="Times New Roman" w:cs="Times New Roman"/>
          <w:sz w:val="24"/>
          <w:szCs w:val="24"/>
        </w:rPr>
        <w:t>систему</w:t>
      </w:r>
      <w:r w:rsidR="00542312">
        <w:rPr>
          <w:rFonts w:ascii="Times New Roman" w:hAnsi="Times New Roman" w:cs="Times New Roman"/>
          <w:sz w:val="24"/>
          <w:szCs w:val="24"/>
        </w:rPr>
        <w:t xml:space="preserve"> дефинисано је да „</w:t>
      </w:r>
      <w:r w:rsidRPr="00542312">
        <w:rPr>
          <w:rFonts w:ascii="Times New Roman" w:hAnsi="Times New Roman" w:cs="Times New Roman"/>
          <w:b/>
          <w:sz w:val="24"/>
          <w:szCs w:val="24"/>
        </w:rPr>
        <w:t>Програмске информације</w:t>
      </w:r>
      <w:r w:rsidRPr="00953E33">
        <w:rPr>
          <w:rFonts w:ascii="Times New Roman" w:hAnsi="Times New Roman" w:cs="Times New Roman"/>
          <w:sz w:val="24"/>
          <w:szCs w:val="24"/>
        </w:rPr>
        <w:t xml:space="preserve"> из става 5. тачка 2) овог члана садрже описе програма, програмских активности и пројеката корисника буџетских средстава, циљеве који се желе постићи у средњорочном периоду спровођењем програма, програмских активности и пројеката, као и показатеље учинка за праћење постизања наведених циљева. </w:t>
      </w:r>
    </w:p>
    <w:p w:rsidR="007F5713" w:rsidRDefault="007F5713" w:rsidP="007F5713">
      <w:pPr>
        <w:pStyle w:val="Default"/>
        <w:ind w:firstLine="720"/>
        <w:jc w:val="both"/>
      </w:pPr>
      <w:r w:rsidRPr="00A76A26">
        <w:t xml:space="preserve">Нарочито је потребно обратити пажњу на </w:t>
      </w:r>
      <w:r w:rsidRPr="00A76A26">
        <w:rPr>
          <w:b/>
          <w:u w:val="single"/>
        </w:rPr>
        <w:t>шифарник</w:t>
      </w:r>
      <w:r w:rsidRPr="00A76A26">
        <w:t xml:space="preserve"> прогр</w:t>
      </w:r>
      <w:r w:rsidRPr="00785C22">
        <w:t>ама, програмских активности и</w:t>
      </w:r>
      <w:r>
        <w:t xml:space="preserve"> </w:t>
      </w:r>
      <w:r w:rsidRPr="00785C22">
        <w:t>пројеката</w:t>
      </w:r>
      <w:r w:rsidRPr="00785C22">
        <w:rPr>
          <w:lang w:val="sr-Cyrl-CS"/>
        </w:rPr>
        <w:t>.</w:t>
      </w:r>
      <w:r w:rsidRPr="00453CD1">
        <w:t xml:space="preserve"> </w:t>
      </w:r>
    </w:p>
    <w:p w:rsidR="007F5713" w:rsidRPr="007F5713" w:rsidRDefault="007F5713" w:rsidP="007F5713">
      <w:pPr>
        <w:pStyle w:val="Default"/>
        <w:ind w:firstLine="720"/>
        <w:jc w:val="both"/>
      </w:pPr>
    </w:p>
    <w:p w:rsidR="00A323D5" w:rsidRDefault="00832EA6" w:rsidP="003973AC">
      <w:pPr>
        <w:pStyle w:val="Default"/>
        <w:jc w:val="both"/>
        <w:rPr>
          <w:b/>
        </w:rPr>
      </w:pPr>
      <w:r>
        <w:tab/>
      </w:r>
      <w:r w:rsidR="00007101" w:rsidRPr="00785C22">
        <w:t xml:space="preserve">Упућујемо кориснике буџета Општине </w:t>
      </w:r>
      <w:r w:rsidR="00991DC3" w:rsidRPr="00785C22">
        <w:rPr>
          <w:lang w:val="sr-Cyrl-CS"/>
        </w:rPr>
        <w:t>Горњи Милановац</w:t>
      </w:r>
      <w:r w:rsidR="00007101" w:rsidRPr="00785C22">
        <w:t xml:space="preserve"> да се </w:t>
      </w:r>
      <w:r w:rsidR="00CB0A6C" w:rsidRPr="00BD6842">
        <w:rPr>
          <w:b/>
          <w:lang w:val="sr-Cyrl-CS"/>
        </w:rPr>
        <w:t xml:space="preserve">Упутство за припрему </w:t>
      </w:r>
      <w:r w:rsidR="00CB0A6C" w:rsidRPr="00BD6842">
        <w:rPr>
          <w:b/>
          <w:lang w:val="en-GB"/>
        </w:rPr>
        <w:t>O</w:t>
      </w:r>
      <w:r w:rsidR="00CB0A6C" w:rsidRPr="00BD6842">
        <w:rPr>
          <w:b/>
          <w:lang w:val="sr-Cyrl-CS"/>
        </w:rPr>
        <w:t>длуке о буџету локалне власти</w:t>
      </w:r>
      <w:r w:rsidR="00045B7E">
        <w:rPr>
          <w:b/>
        </w:rPr>
        <w:t xml:space="preserve"> које је донео Министар финансија</w:t>
      </w:r>
      <w:r w:rsidR="00937260" w:rsidRPr="00A76A26">
        <w:t xml:space="preserve"> </w:t>
      </w:r>
      <w:r w:rsidR="00937260" w:rsidRPr="00045B7E">
        <w:rPr>
          <w:b/>
        </w:rPr>
        <w:t>и прилози са табелама налазе се на интернет страници Министарства финансија.</w:t>
      </w:r>
    </w:p>
    <w:p w:rsidR="001D3A98" w:rsidRPr="001D3A98" w:rsidRDefault="001D3A98" w:rsidP="003973AC">
      <w:pPr>
        <w:pStyle w:val="Default"/>
        <w:jc w:val="both"/>
        <w:rPr>
          <w:b/>
        </w:rPr>
      </w:pPr>
    </w:p>
    <w:p w:rsidR="001D3A98" w:rsidRDefault="001D3A98" w:rsidP="009F5412">
      <w:pPr>
        <w:autoSpaceDE w:val="0"/>
        <w:autoSpaceDN w:val="0"/>
        <w:adjustRightInd w:val="0"/>
        <w:jc w:val="both"/>
      </w:pPr>
    </w:p>
    <w:p w:rsidR="001D3A98" w:rsidRPr="00505E56" w:rsidRDefault="001D3A98" w:rsidP="009F5412">
      <w:pPr>
        <w:autoSpaceDE w:val="0"/>
        <w:autoSpaceDN w:val="0"/>
        <w:adjustRightInd w:val="0"/>
        <w:jc w:val="both"/>
        <w:rPr>
          <w:b/>
          <w:i/>
        </w:rPr>
      </w:pPr>
      <w:r w:rsidRPr="00505E56">
        <w:rPr>
          <w:b/>
          <w:i/>
        </w:rPr>
        <w:t xml:space="preserve">ТАБЕЛАРНИ ПРИКАЗИ </w:t>
      </w:r>
    </w:p>
    <w:p w:rsidR="001D3A98" w:rsidRPr="00505E56" w:rsidRDefault="001D3A98" w:rsidP="009F5412">
      <w:pPr>
        <w:autoSpaceDE w:val="0"/>
        <w:autoSpaceDN w:val="0"/>
        <w:adjustRightInd w:val="0"/>
        <w:jc w:val="both"/>
        <w:rPr>
          <w:b/>
          <w:i/>
        </w:rPr>
      </w:pPr>
    </w:p>
    <w:p w:rsidR="00505E56" w:rsidRPr="00505E56" w:rsidRDefault="001D3A98" w:rsidP="009F5412">
      <w:pPr>
        <w:autoSpaceDE w:val="0"/>
        <w:autoSpaceDN w:val="0"/>
        <w:adjustRightInd w:val="0"/>
        <w:jc w:val="both"/>
        <w:rPr>
          <w:b/>
          <w:i/>
        </w:rPr>
      </w:pPr>
      <w:r w:rsidRPr="00505E56">
        <w:rPr>
          <w:b/>
          <w:i/>
        </w:rPr>
        <w:t xml:space="preserve">Група конта 41 – Расходи за запослене </w:t>
      </w:r>
    </w:p>
    <w:p w:rsidR="00505E56" w:rsidRDefault="00505E56" w:rsidP="009F5412">
      <w:pPr>
        <w:autoSpaceDE w:val="0"/>
        <w:autoSpaceDN w:val="0"/>
        <w:adjustRightInd w:val="0"/>
        <w:jc w:val="both"/>
      </w:pPr>
    </w:p>
    <w:p w:rsidR="00505E56" w:rsidRPr="00505E56" w:rsidRDefault="001D3A98" w:rsidP="00217EE9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Локална власт је у обавези да у одлуци о буџету за 2022. годину, у делу буџета који садржи норме битне за извршење буџета, у посебној одредби </w:t>
      </w:r>
      <w:r w:rsidRPr="00505E56">
        <w:rPr>
          <w:b/>
        </w:rPr>
        <w:t>искаже</w:t>
      </w:r>
      <w:r>
        <w:t xml:space="preserve"> </w:t>
      </w:r>
      <w:r w:rsidRPr="00505E56">
        <w:rPr>
          <w:b/>
        </w:rPr>
        <w:t xml:space="preserve">број запослених на неодређено и одређено време, за које су у буџету локалне власти обезбеђена средства. </w:t>
      </w:r>
    </w:p>
    <w:p w:rsidR="00505E56" w:rsidRDefault="00505E56" w:rsidP="00217EE9">
      <w:pPr>
        <w:autoSpaceDE w:val="0"/>
        <w:autoSpaceDN w:val="0"/>
        <w:adjustRightInd w:val="0"/>
        <w:ind w:firstLine="720"/>
        <w:jc w:val="both"/>
      </w:pPr>
    </w:p>
    <w:p w:rsidR="00505E56" w:rsidRDefault="001D3A98" w:rsidP="00217EE9">
      <w:pPr>
        <w:autoSpaceDE w:val="0"/>
        <w:autoSpaceDN w:val="0"/>
        <w:adjustRightInd w:val="0"/>
        <w:ind w:firstLine="720"/>
        <w:jc w:val="both"/>
      </w:pPr>
      <w:r>
        <w:t xml:space="preserve">Уколико се изменама или допунама Одлуке о буџету локалне власти мењају подаци достављени у Прилогу 1, неопходно је доставити измењене (допуњене) табеле са образложењем и документацијом која потврђује да је било неопходно извршити одређене промене у односу на усвојену Одлуку о буџету. </w:t>
      </w:r>
    </w:p>
    <w:p w:rsidR="00505E56" w:rsidRDefault="001D3A98" w:rsidP="00217EE9">
      <w:pPr>
        <w:autoSpaceDE w:val="0"/>
        <w:autoSpaceDN w:val="0"/>
        <w:adjustRightInd w:val="0"/>
        <w:ind w:firstLine="720"/>
        <w:jc w:val="both"/>
      </w:pPr>
      <w:r>
        <w:lastRenderedPageBreak/>
        <w:t>Табела 1. је табела са податком о броју запослених у 2021. години и планираним бројем запослених у 2022. години, по корисницима буџета локалне власти, на економским класификацијама 411 и 412, по изворима финансирања.</w:t>
      </w:r>
    </w:p>
    <w:p w:rsidR="000B24E6" w:rsidRPr="000B24E6" w:rsidRDefault="000B24E6" w:rsidP="00217EE9">
      <w:pPr>
        <w:autoSpaceDE w:val="0"/>
        <w:autoSpaceDN w:val="0"/>
        <w:adjustRightInd w:val="0"/>
        <w:ind w:firstLine="720"/>
        <w:jc w:val="both"/>
      </w:pPr>
    </w:p>
    <w:p w:rsidR="00A323D5" w:rsidRPr="00D906FD" w:rsidRDefault="00A323D5" w:rsidP="00217EE9">
      <w:pPr>
        <w:pStyle w:val="Default"/>
        <w:spacing w:after="120"/>
        <w:ind w:firstLine="720"/>
        <w:jc w:val="both"/>
      </w:pPr>
      <w:r w:rsidRPr="00D906FD">
        <w:t xml:space="preserve">Табела Т1 се аутоматски попуњава подацима из табела Т1.1, Т1.2 и Т1.3 које је потребно попунити. </w:t>
      </w:r>
    </w:p>
    <w:p w:rsidR="00A323D5" w:rsidRPr="00D906FD" w:rsidRDefault="00B62EB4" w:rsidP="00217EE9">
      <w:pPr>
        <w:pStyle w:val="Default"/>
        <w:spacing w:after="120"/>
        <w:ind w:firstLine="720"/>
        <w:jc w:val="both"/>
      </w:pPr>
      <w:r>
        <w:t xml:space="preserve">- </w:t>
      </w:r>
      <w:r w:rsidR="00A323D5" w:rsidRPr="00D906FD">
        <w:t xml:space="preserve">Т1 - Укупан број запослених чије се плате финансирају из свих извора на економским класификацијама 411 и 412; </w:t>
      </w:r>
    </w:p>
    <w:p w:rsidR="00A323D5" w:rsidRPr="00D906FD" w:rsidRDefault="00B62EB4" w:rsidP="00217EE9">
      <w:pPr>
        <w:pStyle w:val="Default"/>
        <w:spacing w:after="120"/>
        <w:ind w:firstLine="720"/>
        <w:jc w:val="both"/>
      </w:pPr>
      <w:r>
        <w:t xml:space="preserve">- </w:t>
      </w:r>
      <w:r w:rsidR="00A323D5" w:rsidRPr="00D906FD">
        <w:t xml:space="preserve">Т1.1 - Број запослених чије се плате финансирају из извора 01 на економским класификацијама 411 и 412; </w:t>
      </w:r>
    </w:p>
    <w:p w:rsidR="00A323D5" w:rsidRPr="00D906FD" w:rsidRDefault="00B62EB4" w:rsidP="00217EE9">
      <w:pPr>
        <w:pStyle w:val="Default"/>
        <w:spacing w:after="120"/>
        <w:ind w:firstLine="720"/>
        <w:jc w:val="both"/>
      </w:pPr>
      <w:r>
        <w:t xml:space="preserve">- </w:t>
      </w:r>
      <w:r w:rsidR="00A323D5" w:rsidRPr="00D906FD">
        <w:t xml:space="preserve">Т1.2 - Број запослених чије се плате финансирају из извора 04 на економским класификацијама 411 и 412; </w:t>
      </w:r>
    </w:p>
    <w:p w:rsidR="00A323D5" w:rsidRPr="00D906FD" w:rsidRDefault="00B62EB4" w:rsidP="00217EE9">
      <w:pPr>
        <w:pStyle w:val="Default"/>
        <w:spacing w:after="120"/>
        <w:ind w:firstLine="720"/>
        <w:jc w:val="both"/>
      </w:pPr>
      <w:r>
        <w:t xml:space="preserve">- </w:t>
      </w:r>
      <w:r w:rsidR="00A323D5" w:rsidRPr="00D906FD">
        <w:t xml:space="preserve">Т1.3 - Број запослених чије се плате финансирају из извора 05-08 на економским класификацијама 411 и 412. </w:t>
      </w:r>
    </w:p>
    <w:p w:rsidR="00A323D5" w:rsidRPr="00D906FD" w:rsidRDefault="00A323D5" w:rsidP="00217EE9">
      <w:pPr>
        <w:pStyle w:val="Default"/>
        <w:jc w:val="both"/>
      </w:pPr>
    </w:p>
    <w:p w:rsidR="00A323D5" w:rsidRPr="00D906FD" w:rsidRDefault="00A323D5" w:rsidP="00217EE9">
      <w:pPr>
        <w:pStyle w:val="Default"/>
        <w:spacing w:after="120"/>
        <w:ind w:firstLine="720"/>
        <w:jc w:val="both"/>
      </w:pPr>
      <w:r w:rsidRPr="00D906FD">
        <w:t xml:space="preserve">Табеле Т1.1, Т1.2 и Т1.3 попуњавају се тако што се попуњавају колоне ''број запослених на неодређено време'' и ''број запослених на одређено време'' по корисницима и то само у редовима са празним ћелијама. Осенчене ћелије се не попуњавају. </w:t>
      </w:r>
    </w:p>
    <w:p w:rsidR="00A323D5" w:rsidRPr="00D906FD" w:rsidRDefault="00A323D5" w:rsidP="00217EE9">
      <w:pPr>
        <w:pStyle w:val="Default"/>
        <w:spacing w:after="120"/>
        <w:ind w:firstLine="720"/>
        <w:jc w:val="both"/>
      </w:pPr>
      <w:r w:rsidRPr="00D906FD">
        <w:t xml:space="preserve">Указујемо да је обавезно да образложење Одлуке о буџету садржи Табелу 2 (у Прилогу 1. Упутства), у којој је неопходно попунити, упоредо по корисницима буџета локалне власти, на економским класификацијама 411 и 412, по изворима, следеће: </w:t>
      </w:r>
    </w:p>
    <w:p w:rsidR="00EA3CC8" w:rsidRPr="00D906FD" w:rsidRDefault="0036184F" w:rsidP="00217EE9">
      <w:pPr>
        <w:pStyle w:val="Default"/>
        <w:numPr>
          <w:ilvl w:val="0"/>
          <w:numId w:val="20"/>
        </w:numPr>
        <w:spacing w:after="120"/>
        <w:jc w:val="both"/>
      </w:pPr>
      <w:r w:rsidRPr="00D906FD">
        <w:t>маса средства за плате исплаћена за период I-X у 20</w:t>
      </w:r>
      <w:r w:rsidR="00E018A7">
        <w:t>2</w:t>
      </w:r>
      <w:r w:rsidR="00BF5E30">
        <w:t>1</w:t>
      </w:r>
      <w:r w:rsidRPr="00D906FD">
        <w:t xml:space="preserve">. </w:t>
      </w:r>
      <w:r w:rsidR="00D257BE">
        <w:t>г</w:t>
      </w:r>
      <w:r w:rsidRPr="00D906FD">
        <w:t>одини</w:t>
      </w:r>
      <w:r w:rsidR="00EA3CC8" w:rsidRPr="00D906FD">
        <w:t xml:space="preserve"> </w:t>
      </w:r>
      <w:r w:rsidR="00A323D5" w:rsidRPr="00D906FD">
        <w:t>и планирана пројекција за период XI-XII у 20</w:t>
      </w:r>
      <w:r w:rsidR="00E018A7">
        <w:t>20</w:t>
      </w:r>
      <w:r w:rsidR="00A323D5" w:rsidRPr="00D906FD">
        <w:t>. години у складу са одредбама члана 42. Закона о буџету Републике Србије за 20</w:t>
      </w:r>
      <w:r w:rsidR="00E018A7">
        <w:t>2</w:t>
      </w:r>
      <w:r w:rsidR="00FD11EF">
        <w:t>1</w:t>
      </w:r>
      <w:r w:rsidR="00A323D5" w:rsidRPr="00D906FD">
        <w:t xml:space="preserve">. годину и </w:t>
      </w:r>
    </w:p>
    <w:p w:rsidR="00A323D5" w:rsidRPr="00D906FD" w:rsidRDefault="00A323D5" w:rsidP="00217EE9">
      <w:pPr>
        <w:pStyle w:val="Default"/>
        <w:numPr>
          <w:ilvl w:val="0"/>
          <w:numId w:val="20"/>
        </w:numPr>
        <w:spacing w:after="120"/>
        <w:jc w:val="both"/>
      </w:pPr>
      <w:r w:rsidRPr="00D906FD">
        <w:t>планирана средств</w:t>
      </w:r>
      <w:r w:rsidR="00E018A7">
        <w:t>а за плате за 202</w:t>
      </w:r>
      <w:r w:rsidR="00D0646B">
        <w:t>2</w:t>
      </w:r>
      <w:r w:rsidRPr="00D906FD">
        <w:t xml:space="preserve">. годину. </w:t>
      </w:r>
    </w:p>
    <w:p w:rsidR="00A323D5" w:rsidRPr="00D906FD" w:rsidRDefault="00A323D5" w:rsidP="00816AF6">
      <w:pPr>
        <w:pStyle w:val="Default"/>
        <w:jc w:val="both"/>
      </w:pPr>
    </w:p>
    <w:p w:rsidR="007A046E" w:rsidRPr="00D906FD" w:rsidRDefault="00A323D5" w:rsidP="00217EE9">
      <w:pPr>
        <w:pStyle w:val="Default"/>
        <w:spacing w:after="120"/>
        <w:ind w:firstLine="720"/>
        <w:jc w:val="both"/>
      </w:pPr>
      <w:r w:rsidRPr="00D906FD">
        <w:t xml:space="preserve">Приликом попуњавања Табеле 2. попуњавају се само колоне са масом средстава за плате по корисницима и изворима, тако што се уноси износ масе средстава само у редовима са празним ћелијама, а осенчене ћелије се не попуњавају. Колоне са бројем запослених се аутоматски попуњавају подацима из табеле Т1. </w:t>
      </w:r>
      <w:r w:rsidR="007A046E" w:rsidRPr="00D906FD">
        <w:tab/>
      </w:r>
    </w:p>
    <w:p w:rsidR="002971CE" w:rsidRDefault="00A323D5" w:rsidP="00217EE9">
      <w:pPr>
        <w:pStyle w:val="Default"/>
        <w:ind w:firstLine="720"/>
        <w:jc w:val="both"/>
      </w:pPr>
      <w:r w:rsidRPr="00D906FD">
        <w:t xml:space="preserve">Табела 3. је табела са бројем запослених чије се плате исплаћују из буџета са осталих економских класификација. </w:t>
      </w:r>
    </w:p>
    <w:p w:rsidR="00212021" w:rsidRPr="00212021" w:rsidRDefault="00212021" w:rsidP="00217EE9">
      <w:pPr>
        <w:pStyle w:val="Default"/>
        <w:ind w:firstLine="720"/>
        <w:jc w:val="both"/>
      </w:pPr>
    </w:p>
    <w:p w:rsidR="002971CE" w:rsidRDefault="002971CE" w:rsidP="00217EE9">
      <w:pPr>
        <w:pStyle w:val="Default"/>
        <w:spacing w:after="120"/>
        <w:ind w:firstLine="720"/>
        <w:jc w:val="both"/>
      </w:pPr>
      <w:r>
        <w:t xml:space="preserve">Табела 4. представља приказ планираних и исплаћених средстава у 2021. години и планираних средстава у 2022. години на економској класификацији 416, као и пратећи број запослених по овом основу. Напомињемо да се у овој табели приказују планирана/исплаћена средства за јубиларне награде и/или по другом основу, при чему је потребно у табели нагласити који је основ у питању (награде и сл.). </w:t>
      </w:r>
    </w:p>
    <w:p w:rsidR="002971CE" w:rsidRDefault="002971CE" w:rsidP="00217EE9">
      <w:pPr>
        <w:pStyle w:val="Default"/>
        <w:spacing w:after="120"/>
        <w:ind w:firstLine="720"/>
        <w:jc w:val="both"/>
      </w:pPr>
      <w:r>
        <w:t xml:space="preserve">Табела 5. односи се на преглед броја запослених и средства за плате у 2022. години по звањима и занимањима у органима јединица локалне власти, а у којој је потребно унети коефицијенте, додатке за минули рад, додатке за прековремени рад и приправност и број запослених у органима и организацијама локалне власти. </w:t>
      </w:r>
    </w:p>
    <w:p w:rsidR="00EA1ED0" w:rsidRPr="004F1BA1" w:rsidRDefault="002971CE" w:rsidP="00217EE9">
      <w:pPr>
        <w:pStyle w:val="Default"/>
        <w:spacing w:after="120"/>
        <w:ind w:firstLine="720"/>
        <w:jc w:val="both"/>
      </w:pPr>
      <w:r>
        <w:t>Табела 6. односи се на преглед исплаћених средстава на економским класификацијама 413-416 у 2021. години, као и планираним средствима у 2022. години.</w:t>
      </w:r>
      <w:r w:rsidRPr="00EA1ED0">
        <w:t xml:space="preserve"> </w:t>
      </w:r>
    </w:p>
    <w:p w:rsidR="00001DFD" w:rsidRPr="001D16F6" w:rsidRDefault="00F15F06" w:rsidP="00217EE9">
      <w:pPr>
        <w:pStyle w:val="Default"/>
        <w:spacing w:after="120"/>
        <w:ind w:firstLine="720"/>
        <w:jc w:val="both"/>
      </w:pPr>
      <w:r w:rsidRPr="001D16F6">
        <w:lastRenderedPageBreak/>
        <w:t xml:space="preserve">Табела </w:t>
      </w:r>
      <w:r w:rsidR="00BB4EEE">
        <w:t>7</w:t>
      </w:r>
      <w:r w:rsidRPr="001D16F6">
        <w:t>. односи се на преглед броја запослених на неодређено и одређено време у 202</w:t>
      </w:r>
      <w:r w:rsidR="001D16F6" w:rsidRPr="001D16F6">
        <w:t>2</w:t>
      </w:r>
      <w:r w:rsidRPr="001D16F6">
        <w:t>. години, по кварталима.</w:t>
      </w:r>
      <w:r w:rsidR="00E64967" w:rsidRPr="001D16F6">
        <w:t xml:space="preserve"> Након истека сваког квартала </w:t>
      </w:r>
      <w:r w:rsidR="00DB4C58" w:rsidRPr="001D16F6">
        <w:t xml:space="preserve">јединица локалне самоуправе је у обавези да достави </w:t>
      </w:r>
      <w:r w:rsidR="00001DFD" w:rsidRPr="001D16F6">
        <w:t>ов</w:t>
      </w:r>
      <w:r w:rsidR="00DB4C58" w:rsidRPr="001D16F6">
        <w:t>е</w:t>
      </w:r>
      <w:r w:rsidR="00001DFD" w:rsidRPr="001D16F6">
        <w:t xml:space="preserve"> пода</w:t>
      </w:r>
      <w:r w:rsidR="00DB4C58" w:rsidRPr="001D16F6">
        <w:t>тке</w:t>
      </w:r>
      <w:r w:rsidR="00E64967" w:rsidRPr="001D16F6">
        <w:t xml:space="preserve"> Министарству финансија</w:t>
      </w:r>
      <w:r w:rsidR="00DB4C58" w:rsidRPr="001D16F6">
        <w:t>. Стога је неопходно</w:t>
      </w:r>
      <w:r w:rsidR="00001DFD" w:rsidRPr="001D16F6">
        <w:t xml:space="preserve"> да сваки </w:t>
      </w:r>
      <w:r w:rsidR="00DB4C58" w:rsidRPr="001D16F6">
        <w:t xml:space="preserve">буџетски </w:t>
      </w:r>
      <w:r w:rsidR="00001DFD" w:rsidRPr="001D16F6">
        <w:t xml:space="preserve"> корисник </w:t>
      </w:r>
      <w:r w:rsidR="00001DFD" w:rsidRPr="001D16F6">
        <w:rPr>
          <w:b/>
        </w:rPr>
        <w:t>по истеку квартал</w:t>
      </w:r>
      <w:r w:rsidR="00DB4C58" w:rsidRPr="001D16F6">
        <w:rPr>
          <w:b/>
        </w:rPr>
        <w:t>а</w:t>
      </w:r>
      <w:r w:rsidR="00001DFD" w:rsidRPr="001D16F6">
        <w:t xml:space="preserve"> достави електронским путем Одељењу за финансије, рачуноводство и ЛПА </w:t>
      </w:r>
      <w:r w:rsidR="00001DFD" w:rsidRPr="001D16F6">
        <w:rPr>
          <w:b/>
        </w:rPr>
        <w:t>попуњену табел</w:t>
      </w:r>
      <w:r w:rsidR="00DB4C58" w:rsidRPr="001D16F6">
        <w:rPr>
          <w:b/>
        </w:rPr>
        <w:t>у</w:t>
      </w:r>
      <w:r w:rsidR="00001DFD" w:rsidRPr="001D16F6">
        <w:t xml:space="preserve"> са својим подацима, како би се сачинио јединствени преглед броја запослених и подаци проследили Министарству</w:t>
      </w:r>
      <w:r w:rsidR="00DB4C58" w:rsidRPr="001D16F6">
        <w:t xml:space="preserve"> финансија</w:t>
      </w:r>
      <w:r w:rsidR="00001DFD" w:rsidRPr="001D16F6">
        <w:t>.</w:t>
      </w:r>
    </w:p>
    <w:p w:rsidR="007A046E" w:rsidRDefault="007A046E" w:rsidP="00217EE9">
      <w:pPr>
        <w:spacing w:after="120"/>
        <w:ind w:firstLine="720"/>
        <w:jc w:val="both"/>
      </w:pPr>
      <w:r w:rsidRPr="00D906FD">
        <w:t xml:space="preserve">Штампани формат табела Прилога 1- Преглед броја запослених и средстава за плате, треба </w:t>
      </w:r>
      <w:r w:rsidR="000967A1">
        <w:t xml:space="preserve">да </w:t>
      </w:r>
      <w:r w:rsidRPr="00D906FD">
        <w:t>има печат и потпис одговорног лица као и број телефона.</w:t>
      </w:r>
    </w:p>
    <w:p w:rsidR="007E7474" w:rsidRDefault="007E7474" w:rsidP="007A046E">
      <w:pPr>
        <w:ind w:firstLine="720"/>
        <w:jc w:val="both"/>
        <w:rPr>
          <w:b/>
          <w:bCs/>
          <w:sz w:val="23"/>
          <w:szCs w:val="23"/>
        </w:rPr>
      </w:pPr>
    </w:p>
    <w:p w:rsidR="0027290C" w:rsidRPr="00E36CF5" w:rsidRDefault="007E7474" w:rsidP="007A046E">
      <w:pPr>
        <w:ind w:firstLine="720"/>
        <w:jc w:val="both"/>
      </w:pPr>
      <w:r w:rsidRPr="00E36CF5">
        <w:rPr>
          <w:b/>
          <w:bCs/>
        </w:rPr>
        <w:t>Група конта 42 - Коришћење услуга и роба</w:t>
      </w:r>
    </w:p>
    <w:p w:rsidR="0027290C" w:rsidRDefault="0027290C" w:rsidP="0027290C">
      <w:pPr>
        <w:pStyle w:val="Default"/>
        <w:ind w:firstLine="720"/>
        <w:jc w:val="both"/>
        <w:rPr>
          <w:sz w:val="23"/>
          <w:szCs w:val="23"/>
        </w:rPr>
      </w:pPr>
    </w:p>
    <w:p w:rsidR="0027290C" w:rsidRPr="0027290C" w:rsidRDefault="0027290C" w:rsidP="00217EE9">
      <w:pPr>
        <w:pStyle w:val="Default"/>
        <w:spacing w:after="120"/>
        <w:ind w:firstLine="720"/>
        <w:jc w:val="both"/>
      </w:pPr>
      <w:r w:rsidRPr="0027290C">
        <w:t>У оквиру групе конта која се односе на куповину роба и услуга, потребно је реално планира</w:t>
      </w:r>
      <w:r w:rsidR="002A2C5F">
        <w:t>ти средства за ове намене у 202</w:t>
      </w:r>
      <w:r w:rsidR="00F77025">
        <w:t>2</w:t>
      </w:r>
      <w:r w:rsidRPr="0027290C">
        <w:t xml:space="preserve">. години, водећи рачуна да се не угрози извршавање сталних трошкова (421 - Стални трошкови). </w:t>
      </w:r>
    </w:p>
    <w:p w:rsidR="0027290C" w:rsidRPr="0027290C" w:rsidRDefault="0027290C" w:rsidP="00217EE9">
      <w:pPr>
        <w:pStyle w:val="Default"/>
        <w:spacing w:after="120"/>
        <w:ind w:firstLine="720"/>
        <w:jc w:val="both"/>
      </w:pPr>
      <w:r w:rsidRPr="0027290C">
        <w:t xml:space="preserve">Препорука је да буџетски корисници у буџетској процедури преиспитају и потребу смањења других накнада за рад, које нису обухваћене Законом (уговори о делу, уговори о привремено повременим пословима и др). </w:t>
      </w:r>
    </w:p>
    <w:p w:rsidR="00DE5749" w:rsidRDefault="00C80D18" w:rsidP="00217EE9">
      <w:pPr>
        <w:pStyle w:val="Default"/>
        <w:ind w:firstLine="720"/>
        <w:jc w:val="both"/>
      </w:pPr>
      <w:r>
        <w:t>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 („Службени гласник РСˮ, бр. 119/12, 68/15, 113/17, 91/19 и 41/21).</w:t>
      </w:r>
    </w:p>
    <w:p w:rsidR="00C80D18" w:rsidRPr="00C80D18" w:rsidRDefault="00C80D18" w:rsidP="00217EE9">
      <w:pPr>
        <w:pStyle w:val="Default"/>
        <w:rPr>
          <w:b/>
          <w:bCs/>
          <w:sz w:val="23"/>
          <w:szCs w:val="23"/>
        </w:rPr>
      </w:pPr>
    </w:p>
    <w:p w:rsidR="00DE5749" w:rsidRDefault="00DE5749" w:rsidP="00D454C9">
      <w:pPr>
        <w:pStyle w:val="Default"/>
        <w:ind w:firstLine="720"/>
        <w:rPr>
          <w:b/>
          <w:bCs/>
        </w:rPr>
      </w:pPr>
      <w:r w:rsidRPr="00E54276">
        <w:rPr>
          <w:b/>
          <w:bCs/>
        </w:rPr>
        <w:t xml:space="preserve">Група конта 45 - Субвенције </w:t>
      </w:r>
    </w:p>
    <w:p w:rsidR="003E717B" w:rsidRPr="00E54276" w:rsidRDefault="003E717B" w:rsidP="00D454C9">
      <w:pPr>
        <w:pStyle w:val="Default"/>
        <w:ind w:firstLine="720"/>
        <w:rPr>
          <w:b/>
          <w:bCs/>
        </w:rPr>
      </w:pPr>
    </w:p>
    <w:p w:rsidR="00675A45" w:rsidRPr="00FB3938" w:rsidRDefault="003C1673" w:rsidP="00217EE9">
      <w:pPr>
        <w:pStyle w:val="Default"/>
        <w:ind w:firstLine="720"/>
        <w:jc w:val="both"/>
        <w:rPr>
          <w:b/>
          <w:bCs/>
        </w:rPr>
      </w:pPr>
      <w:r w:rsidRPr="00E54276">
        <w:t>У оквиру субвенција неопходно је преиспитати све програме по основу којих се додељују субвенције. Приликом планирања средстава за субвенције и њихових намена посебно треба имати у виду све прописе који се тичу државне помоћи.</w:t>
      </w:r>
    </w:p>
    <w:p w:rsidR="00675A45" w:rsidRDefault="00675A45" w:rsidP="00217EE9">
      <w:pPr>
        <w:pStyle w:val="Default"/>
        <w:ind w:firstLine="720"/>
        <w:rPr>
          <w:b/>
          <w:bCs/>
          <w:sz w:val="23"/>
          <w:szCs w:val="23"/>
        </w:rPr>
      </w:pPr>
    </w:p>
    <w:p w:rsidR="00E51BEB" w:rsidRDefault="00E51BEB" w:rsidP="00D454C9">
      <w:pPr>
        <w:pStyle w:val="Default"/>
        <w:ind w:firstLine="720"/>
        <w:rPr>
          <w:b/>
          <w:bCs/>
          <w:sz w:val="23"/>
          <w:szCs w:val="23"/>
        </w:rPr>
      </w:pPr>
      <w:r w:rsidRPr="00C11DDB">
        <w:rPr>
          <w:b/>
          <w:bCs/>
        </w:rPr>
        <w:t>Група конта 48 - Остали расходи</w:t>
      </w:r>
      <w:r>
        <w:rPr>
          <w:b/>
          <w:bCs/>
          <w:sz w:val="23"/>
          <w:szCs w:val="23"/>
        </w:rPr>
        <w:t xml:space="preserve"> </w:t>
      </w:r>
    </w:p>
    <w:p w:rsidR="00E51BEB" w:rsidRPr="00AE43A5" w:rsidRDefault="00E51BEB" w:rsidP="00D454C9">
      <w:pPr>
        <w:pStyle w:val="Default"/>
        <w:ind w:firstLine="720"/>
      </w:pPr>
    </w:p>
    <w:p w:rsidR="00230A24" w:rsidRPr="00AE43A5" w:rsidRDefault="00E51BEB" w:rsidP="00217EE9">
      <w:pPr>
        <w:pStyle w:val="Default"/>
        <w:ind w:firstLine="720"/>
        <w:jc w:val="both"/>
      </w:pPr>
      <w:r w:rsidRPr="00AE43A5">
        <w:t>Приликом планирања наведених расхода, треба имати у виду да се услед недовољног износа средстава на економској класификацији 483 - Новчане казне и пенали по решењу судова, иста повећава смањењем осталих економских класификација, на којима је, због наведеног, неопходно прилагодити преузимање обавеза, како би се на тај начин спречило стварање доцњи.</w:t>
      </w:r>
    </w:p>
    <w:p w:rsidR="003E717B" w:rsidRPr="00AE43A5" w:rsidRDefault="003E717B" w:rsidP="00217EE9">
      <w:pPr>
        <w:pStyle w:val="Default"/>
        <w:ind w:firstLine="720"/>
        <w:rPr>
          <w:b/>
          <w:bCs/>
        </w:rPr>
      </w:pPr>
    </w:p>
    <w:p w:rsidR="00230A24" w:rsidRPr="00E54276" w:rsidRDefault="00230A24" w:rsidP="00D454C9">
      <w:pPr>
        <w:pStyle w:val="Default"/>
        <w:ind w:firstLine="720"/>
      </w:pPr>
      <w:r w:rsidRPr="00E54276">
        <w:rPr>
          <w:b/>
          <w:bCs/>
        </w:rPr>
        <w:t xml:space="preserve">Класа 5 - </w:t>
      </w:r>
      <w:r w:rsidR="00C11DDB" w:rsidRPr="00C11DDB">
        <w:rPr>
          <w:b/>
        </w:rPr>
        <w:t>Смернице за исказивање издатака за капиталне пројекте</w:t>
      </w:r>
    </w:p>
    <w:p w:rsidR="003C1673" w:rsidRDefault="003C1673" w:rsidP="00D454C9">
      <w:pPr>
        <w:pStyle w:val="Default"/>
        <w:ind w:firstLine="720"/>
        <w:rPr>
          <w:sz w:val="23"/>
          <w:szCs w:val="23"/>
        </w:rPr>
      </w:pPr>
    </w:p>
    <w:p w:rsidR="00AB5324" w:rsidRPr="00675A45" w:rsidRDefault="00230A24" w:rsidP="00217EE9">
      <w:pPr>
        <w:pStyle w:val="Default"/>
        <w:spacing w:after="120"/>
        <w:ind w:firstLine="720"/>
        <w:jc w:val="both"/>
      </w:pPr>
      <w:r w:rsidRPr="003C1673">
        <w:t xml:space="preserve">У циљу ефикасног планирања, важно је да корисници расходе за текуће поправке и одржавање зграда, објеката и опреме (за молерске, зидарске радове, поправке електронске и електричне опреме, замена санитарија, радијатора и сличне послове), којима се чувa упoтрeбнa врeднoст зграда, објеката и опреме у стaњу кoje je билo у трeнутку изгрaдњe, oднoснo рeкoнструкциje и којима се не увећава њихова инвестициона вредност планирају на апропријацији економске класификације 425 - Текуће поправке и одржавање, док се средства за капитално одржавање (знaчajни, дугoрoчни рaдoви нa рeнoвирaњу и унaпрeђeњу пoстojeћих oбjeкaтa и опреме, адаптација, реконструкција, санација и др.) планирају на контима класе 5. </w:t>
      </w:r>
    </w:p>
    <w:p w:rsidR="00F602E4" w:rsidRPr="00C57B95" w:rsidRDefault="00230A24" w:rsidP="00217EE9">
      <w:pPr>
        <w:pStyle w:val="Default"/>
        <w:spacing w:after="120"/>
        <w:ind w:firstLine="720"/>
        <w:jc w:val="both"/>
      </w:pPr>
      <w:r w:rsidRPr="00933612">
        <w:lastRenderedPageBreak/>
        <w:t>Такође, приликом приказивања издатака за капиталне пројекте у буџету за 202</w:t>
      </w:r>
      <w:r w:rsidR="00200732">
        <w:t>2</w:t>
      </w:r>
      <w:r w:rsidRPr="00933612">
        <w:t>. годину и наредне две године, потребно је приказати не само оне капиталне пројекте који ће бити започети и реализовани у 202</w:t>
      </w:r>
      <w:r w:rsidR="00200732">
        <w:t>2</w:t>
      </w:r>
      <w:r w:rsidRPr="00933612">
        <w:t>. години, већ и оне који су започети у претходним</w:t>
      </w:r>
      <w:r w:rsidR="00933612" w:rsidRPr="00933612">
        <w:t xml:space="preserve"> годинама а чија је реализација у току и при томе навести све релевантне податке везане за исте (годину почетка финансирања, годину завршетка финансирања, укупну вредност пројекта, изворе финансирања, тј. приходе из буџета, трансфере од других нивоа власти итд.).</w:t>
      </w:r>
    </w:p>
    <w:p w:rsidR="00D906FD" w:rsidRPr="00520208" w:rsidRDefault="001365A4" w:rsidP="001365A4">
      <w:pPr>
        <w:pStyle w:val="Default"/>
        <w:ind w:firstLine="720"/>
        <w:rPr>
          <w:b/>
          <w:bCs/>
        </w:rPr>
      </w:pPr>
      <w:r>
        <w:rPr>
          <w:b/>
          <w:bCs/>
        </w:rPr>
        <w:t xml:space="preserve">Капитални </w:t>
      </w:r>
      <w:r w:rsidR="00520208">
        <w:rPr>
          <w:b/>
          <w:bCs/>
        </w:rPr>
        <w:t>пројекти</w:t>
      </w:r>
    </w:p>
    <w:p w:rsidR="001365A4" w:rsidRPr="001365A4" w:rsidRDefault="001365A4" w:rsidP="001365A4">
      <w:pPr>
        <w:pStyle w:val="Default"/>
        <w:ind w:firstLine="720"/>
        <w:rPr>
          <w:b/>
          <w:bCs/>
        </w:rPr>
      </w:pPr>
    </w:p>
    <w:p w:rsidR="00E54276" w:rsidRPr="00E54276" w:rsidRDefault="00E54276" w:rsidP="00217EE9">
      <w:pPr>
        <w:pStyle w:val="Default"/>
        <w:spacing w:after="120"/>
        <w:ind w:firstLine="720"/>
        <w:jc w:val="both"/>
      </w:pPr>
      <w:r w:rsidRPr="00E54276">
        <w:t xml:space="preserve">Капитални пројекти су пројекти изградње и капиталног одржавања зграда и грађевинских објеката инфраструктуре од интереса за Републику Србију, односно локалну власт укључујући услуге пројектног планирања које је саставни део пројекта, обезбеђивање земљишта за изградњу, као и пројекти који подразумевају улагања у опрему, машине и другу нефинансијску имовину, а у функцији су јавног интереса. </w:t>
      </w:r>
    </w:p>
    <w:p w:rsidR="0085537A" w:rsidRDefault="00E54276" w:rsidP="00217EE9">
      <w:pPr>
        <w:pStyle w:val="Default"/>
        <w:spacing w:after="120"/>
        <w:ind w:firstLine="720"/>
        <w:jc w:val="both"/>
      </w:pPr>
      <w:r w:rsidRPr="00E54276">
        <w:t>Капитални пројекти планирају се и укључују у буџет у складу са одредбама Уредбе о управљању капиталним пројектима („Службени гласник РС”, бр. 51/19).</w:t>
      </w:r>
    </w:p>
    <w:p w:rsidR="00027C2A" w:rsidRPr="00027C2A" w:rsidRDefault="00027C2A" w:rsidP="00217EE9">
      <w:pPr>
        <w:pStyle w:val="Default"/>
        <w:spacing w:after="120"/>
        <w:ind w:firstLine="720"/>
        <w:jc w:val="both"/>
      </w:pPr>
    </w:p>
    <w:p w:rsidR="0085537A" w:rsidRDefault="005A5B74" w:rsidP="00217EE9">
      <w:pPr>
        <w:pStyle w:val="Default"/>
        <w:ind w:left="720"/>
        <w:rPr>
          <w:b/>
        </w:rPr>
      </w:pPr>
      <w:r w:rsidRPr="005A5B74">
        <w:rPr>
          <w:b/>
        </w:rPr>
        <w:t xml:space="preserve">Информациони систем за праћење, контролу и извештавање о извршењу </w:t>
      </w:r>
      <w:r w:rsidR="008277EA">
        <w:rPr>
          <w:b/>
        </w:rPr>
        <w:t xml:space="preserve">  </w:t>
      </w:r>
      <w:r w:rsidRPr="005A5B74">
        <w:rPr>
          <w:b/>
        </w:rPr>
        <w:t>буџета јединица локалних самоуправа</w:t>
      </w:r>
    </w:p>
    <w:p w:rsidR="005A5B74" w:rsidRPr="005A5B74" w:rsidRDefault="005A5B74" w:rsidP="00217EE9">
      <w:pPr>
        <w:pStyle w:val="Default"/>
        <w:ind w:firstLine="720"/>
        <w:rPr>
          <w:b/>
        </w:rPr>
      </w:pPr>
    </w:p>
    <w:p w:rsidR="00A4227C" w:rsidRDefault="00900D0F" w:rsidP="00910CBD">
      <w:pPr>
        <w:ind w:firstLine="720"/>
        <w:jc w:val="both"/>
      </w:pPr>
      <w:r>
        <w:t xml:space="preserve">Почетком 2021. године, у оквиру Управе за трезор почео је са радом нови информациони систем за праћење, контролу и извештавање о извршењу буџета јединица локалних самоуправа. </w:t>
      </w:r>
    </w:p>
    <w:p w:rsidR="007F0361" w:rsidRPr="007F0361" w:rsidRDefault="007F0361" w:rsidP="00910CBD">
      <w:pPr>
        <w:ind w:firstLine="720"/>
        <w:jc w:val="both"/>
      </w:pPr>
    </w:p>
    <w:p w:rsidR="00A4227C" w:rsidRDefault="00900D0F" w:rsidP="00910CBD">
      <w:pPr>
        <w:ind w:firstLine="720"/>
        <w:jc w:val="both"/>
      </w:pPr>
      <w:r>
        <w:t xml:space="preserve">Систем пружа увид у Одлуке о буџету јединица локалних самоуправа, увид </w:t>
      </w:r>
      <w:r w:rsidR="00FF2F9E">
        <w:t>у</w:t>
      </w:r>
      <w:r>
        <w:t xml:space="preserve"> расположив</w:t>
      </w:r>
      <w:r w:rsidR="00FF2F9E">
        <w:t>а</w:t>
      </w:r>
      <w:r>
        <w:t xml:space="preserve"> средств</w:t>
      </w:r>
      <w:r w:rsidR="00FF2F9E">
        <w:t>а</w:t>
      </w:r>
      <w:r>
        <w:t xml:space="preserve"> по утврђеним апропријацијама као и контролу извршења до износа расположивих апропријација. Праћење, контрола и извештавање врши се по свим елементима буџетске класификације у складу са чланом 29. Закона о буџетском систему. </w:t>
      </w:r>
    </w:p>
    <w:p w:rsidR="007F0361" w:rsidRPr="007F0361" w:rsidRDefault="007F0361" w:rsidP="00910CBD">
      <w:pPr>
        <w:ind w:firstLine="720"/>
        <w:jc w:val="both"/>
      </w:pPr>
    </w:p>
    <w:p w:rsidR="00FC5BBC" w:rsidRDefault="00900D0F" w:rsidP="00217EE9">
      <w:pPr>
        <w:ind w:firstLine="720"/>
        <w:jc w:val="both"/>
      </w:pPr>
      <w:r>
        <w:t>Евидентирањем расхода и издатака на основу података из платног промета Управе за трезор обезбеђује се дневно праћење усклађености коришћења средстава у односу на усвојене Одлуке о буџету, не ремети се надлежност локалних власти у извршавању својих буџета и</w:t>
      </w:r>
      <w:r w:rsidR="00F76869" w:rsidRPr="00F76869">
        <w:t xml:space="preserve"> </w:t>
      </w:r>
      <w:r w:rsidR="00F76869">
        <w:t xml:space="preserve">онемогућава се реализација плаћања која нису у складу са расположивим износима на апропријацијама. </w:t>
      </w:r>
    </w:p>
    <w:p w:rsidR="00FC5BBC" w:rsidRPr="00FC5BBC" w:rsidRDefault="00FC5BBC" w:rsidP="00217EE9">
      <w:pPr>
        <w:ind w:firstLine="720"/>
        <w:jc w:val="both"/>
      </w:pPr>
    </w:p>
    <w:p w:rsidR="00FC5BBC" w:rsidRDefault="00F76869" w:rsidP="00217EE9">
      <w:pPr>
        <w:ind w:firstLine="720"/>
        <w:jc w:val="both"/>
      </w:pPr>
      <w:r>
        <w:t xml:space="preserve">Функционалности система омогућавају извршавање следећих активности:  </w:t>
      </w:r>
    </w:p>
    <w:p w:rsidR="00FC5BBC" w:rsidRDefault="00FC5BBC" w:rsidP="00217EE9">
      <w:pPr>
        <w:ind w:firstLine="720"/>
        <w:jc w:val="both"/>
      </w:pPr>
    </w:p>
    <w:p w:rsidR="00FC5BBC" w:rsidRPr="00FC5BBC" w:rsidRDefault="00F76869" w:rsidP="00217EE9">
      <w:pPr>
        <w:pStyle w:val="ListParagraph"/>
        <w:numPr>
          <w:ilvl w:val="0"/>
          <w:numId w:val="20"/>
        </w:numPr>
        <w:jc w:val="both"/>
        <w:rPr>
          <w:rFonts w:eastAsiaTheme="minorHAnsi"/>
          <w:b/>
          <w:bCs/>
        </w:rPr>
      </w:pPr>
      <w:r>
        <w:t xml:space="preserve">Регистрацију корисника и администрацију корисничких налога;  </w:t>
      </w:r>
    </w:p>
    <w:p w:rsidR="00FC5BBC" w:rsidRPr="00FC5BBC" w:rsidRDefault="00F76869" w:rsidP="00217EE9">
      <w:pPr>
        <w:pStyle w:val="ListParagraph"/>
        <w:numPr>
          <w:ilvl w:val="0"/>
          <w:numId w:val="20"/>
        </w:numPr>
        <w:jc w:val="both"/>
        <w:rPr>
          <w:rFonts w:eastAsiaTheme="minorHAnsi"/>
          <w:b/>
          <w:bCs/>
        </w:rPr>
      </w:pPr>
      <w:r>
        <w:t xml:space="preserve">Учитавање шифарника буџетских класификација и шифарника платног промета; </w:t>
      </w:r>
    </w:p>
    <w:p w:rsidR="00FC5BBC" w:rsidRPr="00FC5BBC" w:rsidRDefault="00F76869" w:rsidP="00217EE9">
      <w:pPr>
        <w:pStyle w:val="ListParagraph"/>
        <w:numPr>
          <w:ilvl w:val="0"/>
          <w:numId w:val="20"/>
        </w:numPr>
        <w:jc w:val="both"/>
        <w:rPr>
          <w:rFonts w:eastAsiaTheme="minorHAnsi"/>
          <w:b/>
          <w:bCs/>
        </w:rPr>
      </w:pPr>
      <w:r>
        <w:t xml:space="preserve">Учитавање приходних и расходних апропријација утврђених Одлуком о буџету, Изменама и допунама Одлуке о буџету јединице локалне самоуправе, као и актом о привременом финансирању; </w:t>
      </w:r>
    </w:p>
    <w:p w:rsidR="00FC5BBC" w:rsidRPr="00FC5BBC" w:rsidRDefault="00F76869" w:rsidP="00217EE9">
      <w:pPr>
        <w:pStyle w:val="ListParagraph"/>
        <w:numPr>
          <w:ilvl w:val="0"/>
          <w:numId w:val="20"/>
        </w:numPr>
        <w:jc w:val="both"/>
        <w:rPr>
          <w:rFonts w:eastAsiaTheme="minorHAnsi"/>
          <w:b/>
          <w:bCs/>
        </w:rPr>
      </w:pPr>
      <w:r>
        <w:t xml:space="preserve">Учитавање промена над апропријацијама током буџетске године; </w:t>
      </w:r>
    </w:p>
    <w:p w:rsidR="00FC5BBC" w:rsidRPr="00FC5BBC" w:rsidRDefault="00F76869" w:rsidP="00217EE9">
      <w:pPr>
        <w:pStyle w:val="ListParagraph"/>
        <w:numPr>
          <w:ilvl w:val="0"/>
          <w:numId w:val="20"/>
        </w:numPr>
        <w:jc w:val="both"/>
        <w:rPr>
          <w:rFonts w:eastAsiaTheme="minorHAnsi"/>
          <w:b/>
          <w:bCs/>
        </w:rPr>
      </w:pPr>
      <w:r>
        <w:t>Аутоматско преузимање података о прослеђеним и реализованим платним налозима из</w:t>
      </w:r>
      <w:r w:rsidRPr="00FC5BBC">
        <w:t xml:space="preserve"> </w:t>
      </w:r>
      <w:r>
        <w:t>платног прометаУправе за трезор;</w:t>
      </w:r>
    </w:p>
    <w:p w:rsidR="00FC5BBC" w:rsidRPr="00FC5BBC" w:rsidRDefault="00F76869" w:rsidP="00217EE9">
      <w:pPr>
        <w:pStyle w:val="ListParagraph"/>
        <w:numPr>
          <w:ilvl w:val="0"/>
          <w:numId w:val="20"/>
        </w:numPr>
        <w:jc w:val="both"/>
        <w:rPr>
          <w:rFonts w:eastAsiaTheme="minorHAnsi"/>
          <w:b/>
          <w:bCs/>
        </w:rPr>
      </w:pPr>
      <w:r>
        <w:t xml:space="preserve">Контролу и одбијање платних налога који би довели до нарушавања расположивих износа на утврђеним апропријацијама; </w:t>
      </w:r>
    </w:p>
    <w:p w:rsidR="00FC5BBC" w:rsidRPr="00FC5BBC" w:rsidRDefault="00F76869" w:rsidP="00217EE9">
      <w:pPr>
        <w:pStyle w:val="ListParagraph"/>
        <w:numPr>
          <w:ilvl w:val="0"/>
          <w:numId w:val="20"/>
        </w:numPr>
        <w:jc w:val="both"/>
        <w:rPr>
          <w:rFonts w:eastAsiaTheme="minorHAnsi"/>
          <w:b/>
          <w:bCs/>
        </w:rPr>
      </w:pPr>
      <w:r>
        <w:lastRenderedPageBreak/>
        <w:t>Преглед и сравњење непрепознатих уплата и исплата у систему;</w:t>
      </w:r>
    </w:p>
    <w:p w:rsidR="00FC5BBC" w:rsidRPr="00FC5BBC" w:rsidRDefault="00F76869" w:rsidP="00217EE9">
      <w:pPr>
        <w:pStyle w:val="ListParagraph"/>
        <w:ind w:left="1080"/>
        <w:jc w:val="both"/>
        <w:rPr>
          <w:rFonts w:eastAsiaTheme="minorHAnsi"/>
          <w:b/>
          <w:bCs/>
        </w:rPr>
      </w:pPr>
      <w:r>
        <w:t xml:space="preserve">Преглед података о блокираним корисницима јединица локалних самоуправа по основу принудне наплате; </w:t>
      </w:r>
    </w:p>
    <w:p w:rsidR="00553599" w:rsidRPr="00553599" w:rsidRDefault="00F76869" w:rsidP="00217EE9">
      <w:pPr>
        <w:pStyle w:val="ListParagraph"/>
        <w:numPr>
          <w:ilvl w:val="0"/>
          <w:numId w:val="20"/>
        </w:numPr>
        <w:jc w:val="both"/>
        <w:rPr>
          <w:rFonts w:eastAsiaTheme="minorHAnsi"/>
          <w:b/>
          <w:bCs/>
        </w:rPr>
      </w:pPr>
      <w:r>
        <w:t xml:space="preserve">Извештавање. </w:t>
      </w:r>
    </w:p>
    <w:p w:rsidR="00553599" w:rsidRDefault="00553599" w:rsidP="00217EE9">
      <w:pPr>
        <w:jc w:val="both"/>
      </w:pPr>
    </w:p>
    <w:p w:rsidR="007C7712" w:rsidRDefault="00F76869" w:rsidP="00217EE9">
      <w:pPr>
        <w:ind w:firstLine="720"/>
        <w:jc w:val="both"/>
      </w:pPr>
      <w:r>
        <w:t>Јединице локалне самоуправе учитавањем структуираних фајлова достављају податке о утврђеним апропријацијама, променама апропријација у току буџетске године, повраћајима и прекњижавању погрешно евидентираних расхода и издатака, односно прихода и примања. Извршавање платних трансакција врши се у складу прописаном структуром позива на број задужења Правилника о изменама и допунама Правилника о начину и поступку обављања платног промета у оквиру консолидованог рачуна трезора („Сл. Гласник РС“, број: 91/2021). Шифарник мапирања шифре програмске класификације за јединице локалне самоуправе је саставни део Правилника и Упутства за припрему одлуке о буџету локалне власти.</w:t>
      </w:r>
    </w:p>
    <w:p w:rsidR="00662167" w:rsidRPr="00662167" w:rsidRDefault="00662167" w:rsidP="00217EE9">
      <w:pPr>
        <w:ind w:firstLine="720"/>
        <w:jc w:val="both"/>
      </w:pPr>
    </w:p>
    <w:p w:rsidR="005A4EAA" w:rsidRDefault="00F76869" w:rsidP="00217EE9">
      <w:pPr>
        <w:ind w:firstLine="720"/>
        <w:jc w:val="both"/>
      </w:pPr>
      <w:r>
        <w:t>Имајући у виду наведено, Министарство фи</w:t>
      </w:r>
      <w:r w:rsidR="00BF6473">
        <w:t>н</w:t>
      </w:r>
      <w:r>
        <w:t>ансија указује свим локалним властима да је чланом 4. став 4. Закона о буџетском систему („Сл. Гласник РС“, бр. 54/2009, 73/2010... и 149/2020), између осталог прописано да се приликом припреме и извршења буџета мора поштовати принцип тачности, тј. да приходи и расходи у буџету морају бити приказани у буџету у потпуности и што тачније како не би долазило до одступања између буџета као плана прихода и примања, односно расхода и издатака с једне стране и његове реализације са друге стране.</w:t>
      </w:r>
    </w:p>
    <w:p w:rsidR="00662167" w:rsidRPr="00662167" w:rsidRDefault="00662167" w:rsidP="00217EE9">
      <w:pPr>
        <w:ind w:firstLine="720"/>
        <w:jc w:val="both"/>
      </w:pPr>
    </w:p>
    <w:p w:rsidR="00F91B85" w:rsidRDefault="00F76869" w:rsidP="00217EE9">
      <w:pPr>
        <w:ind w:firstLine="720"/>
        <w:jc w:val="both"/>
      </w:pPr>
      <w:r>
        <w:t xml:space="preserve">С тим у вези, Миистарство финансија указује свим локалним властима да је чланом 6. став 2. Закона о буџетском систему прописана одговорност скупштине локалне власти за доношење буџета, док је чланом 7. став 2. истог закона прописана одговорност надлежног извршног органа локалне власти за извршење буџета локалне власти. </w:t>
      </w:r>
    </w:p>
    <w:p w:rsidR="00662167" w:rsidRPr="00662167" w:rsidRDefault="00662167" w:rsidP="00217EE9">
      <w:pPr>
        <w:ind w:firstLine="720"/>
        <w:jc w:val="both"/>
      </w:pPr>
    </w:p>
    <w:p w:rsidR="00006E73" w:rsidRDefault="00F76869" w:rsidP="00217EE9">
      <w:pPr>
        <w:ind w:firstLine="720"/>
        <w:jc w:val="both"/>
      </w:pPr>
      <w:r>
        <w:t>Сходно наведеном</w:t>
      </w:r>
      <w:r w:rsidR="00662167">
        <w:t>,</w:t>
      </w:r>
      <w:r>
        <w:t xml:space="preserve"> јединице локалне самоуправе имају одговорност у погледу тачности података које уносе у ИСИБ АП ЈЛС, тј. да исти морају у свему одговарати усвојеној Одлуци о буџету, изменама и допунама Одлуке о буџету (ребалансу) и акту о привременом</w:t>
      </w:r>
      <w:r w:rsidR="004818F5" w:rsidRPr="004818F5">
        <w:t xml:space="preserve"> </w:t>
      </w:r>
      <w:r w:rsidR="004818F5">
        <w:t xml:space="preserve">финансирању, као и обавезу да приликом извршења буџета у свему поступају у складу са важећим законским прописима. </w:t>
      </w:r>
    </w:p>
    <w:p w:rsidR="00662167" w:rsidRPr="00662167" w:rsidRDefault="00662167" w:rsidP="00217EE9">
      <w:pPr>
        <w:ind w:firstLine="720"/>
        <w:jc w:val="both"/>
      </w:pPr>
    </w:p>
    <w:p w:rsidR="00006E73" w:rsidRDefault="004818F5" w:rsidP="00217EE9">
      <w:pPr>
        <w:ind w:firstLine="720"/>
        <w:jc w:val="both"/>
      </w:pPr>
      <w:r>
        <w:t xml:space="preserve">Према томе, потребно је да све локалне власти, након учитавања података у систему, обавезно изврше проверу исправности истих и да не врше плаћања са буџетских линија код којих постоји неслагање са усвојеном Одлуком о буџету. </w:t>
      </w:r>
    </w:p>
    <w:p w:rsidR="00662167" w:rsidRPr="00662167" w:rsidRDefault="00662167" w:rsidP="00217EE9">
      <w:pPr>
        <w:ind w:firstLine="720"/>
        <w:jc w:val="both"/>
      </w:pPr>
    </w:p>
    <w:p w:rsidR="005A5B74" w:rsidRPr="00662167" w:rsidRDefault="004818F5" w:rsidP="00217EE9">
      <w:pPr>
        <w:ind w:firstLine="720"/>
        <w:jc w:val="both"/>
        <w:rPr>
          <w:rFonts w:eastAsiaTheme="minorHAnsi"/>
          <w:b/>
          <w:bCs/>
        </w:rPr>
      </w:pPr>
      <w:r>
        <w:t>Исправке погрешно унетих података могу се извршити само кроз усвајање измена и допуна Одлука о буџету и учитавањем утврђених апропријација са шифром разлога 02 у систему.</w:t>
      </w:r>
    </w:p>
    <w:p w:rsidR="005A5B74" w:rsidRPr="005A5B74" w:rsidRDefault="005A5B74" w:rsidP="00217EE9">
      <w:pPr>
        <w:ind w:firstLine="720"/>
        <w:jc w:val="both"/>
        <w:rPr>
          <w:rFonts w:eastAsiaTheme="minorHAnsi"/>
          <w:b/>
          <w:bCs/>
        </w:rPr>
      </w:pPr>
    </w:p>
    <w:p w:rsidR="00A720D6" w:rsidRDefault="00E23CC7" w:rsidP="00910CBD">
      <w:pPr>
        <w:ind w:firstLine="720"/>
        <w:jc w:val="both"/>
        <w:rPr>
          <w:b/>
          <w:bCs/>
        </w:rPr>
      </w:pPr>
      <w:r>
        <w:rPr>
          <w:rFonts w:eastAsiaTheme="minorHAnsi"/>
          <w:b/>
          <w:bCs/>
        </w:rPr>
        <w:t>Напомене уз програмску класификацију</w:t>
      </w:r>
      <w:r w:rsidR="00A720D6" w:rsidRPr="00A720D6">
        <w:rPr>
          <w:b/>
          <w:bCs/>
        </w:rPr>
        <w:t xml:space="preserve"> </w:t>
      </w:r>
    </w:p>
    <w:p w:rsidR="00F26329" w:rsidRPr="00FF0156" w:rsidRDefault="00F26329" w:rsidP="00910CBD">
      <w:pPr>
        <w:autoSpaceDE w:val="0"/>
        <w:autoSpaceDN w:val="0"/>
        <w:adjustRightInd w:val="0"/>
        <w:jc w:val="both"/>
        <w:rPr>
          <w:b/>
          <w:bCs/>
        </w:rPr>
      </w:pPr>
    </w:p>
    <w:p w:rsidR="00F26329" w:rsidRDefault="00F26329" w:rsidP="00E21B67">
      <w:pPr>
        <w:ind w:left="720"/>
        <w:jc w:val="both"/>
        <w:rPr>
          <w:b/>
          <w:bCs/>
          <w:lang w:val="sr-Cyrl-CS"/>
        </w:rPr>
      </w:pPr>
      <w:r w:rsidRPr="00027C2A">
        <w:rPr>
          <w:b/>
          <w:bCs/>
          <w:lang w:val="sr-Cyrl-CS"/>
        </w:rPr>
        <w:t xml:space="preserve">Табела 1. </w:t>
      </w:r>
      <w:r w:rsidR="00E21B67">
        <w:rPr>
          <w:b/>
          <w:bCs/>
          <w:lang w:val="sr-Cyrl-CS"/>
        </w:rPr>
        <w:t>–</w:t>
      </w:r>
      <w:r w:rsidRPr="00027C2A">
        <w:rPr>
          <w:b/>
          <w:bCs/>
          <w:lang w:val="sr-Cyrl-CS"/>
        </w:rPr>
        <w:t xml:space="preserve"> Програм</w:t>
      </w:r>
    </w:p>
    <w:p w:rsidR="00662167" w:rsidRDefault="00662167" w:rsidP="00662167">
      <w:pPr>
        <w:ind w:firstLine="567"/>
        <w:jc w:val="both"/>
        <w:rPr>
          <w:b/>
          <w:bCs/>
        </w:rPr>
      </w:pPr>
    </w:p>
    <w:p w:rsidR="00F26329" w:rsidRDefault="00F26329" w:rsidP="00662167">
      <w:pPr>
        <w:ind w:firstLine="567"/>
        <w:jc w:val="both"/>
        <w:rPr>
          <w:bCs/>
          <w:lang w:val="sr-Cyrl-CS"/>
        </w:rPr>
      </w:pPr>
      <w:r w:rsidRPr="00F26329">
        <w:rPr>
          <w:bCs/>
          <w:lang w:val="sr-Cyrl-CS"/>
        </w:rPr>
        <w:t>Овај образац попуњава директни буџетски корисник</w:t>
      </w:r>
      <w:r>
        <w:rPr>
          <w:bCs/>
          <w:lang w:val="sr-Cyrl-CS"/>
        </w:rPr>
        <w:t>.</w:t>
      </w:r>
      <w:r w:rsidRPr="00F26329">
        <w:rPr>
          <w:bCs/>
          <w:lang w:val="sr-Cyrl-CS"/>
        </w:rPr>
        <w:t xml:space="preserve"> Циљеве, индикаторе, листу програмских активности/пројеката и изворе финансирања програма дефинише </w:t>
      </w:r>
      <w:r w:rsidRPr="00F26329">
        <w:rPr>
          <w:bCs/>
          <w:lang w:val="sr-Cyrl-CS"/>
        </w:rPr>
        <w:lastRenderedPageBreak/>
        <w:t xml:space="preserve">надлежни директи буџетски корисник, на основу достављених предлога програмских активности и пројеката од стране индиректних буџетских корисника.  </w:t>
      </w:r>
    </w:p>
    <w:p w:rsidR="00E21B67" w:rsidRPr="00F26329" w:rsidRDefault="00E21B67" w:rsidP="00E21B67">
      <w:pPr>
        <w:jc w:val="both"/>
        <w:rPr>
          <w:b/>
          <w:bCs/>
          <w:lang w:val="sr-Cyrl-CS"/>
        </w:rPr>
      </w:pPr>
    </w:p>
    <w:p w:rsidR="00F26329" w:rsidRDefault="00F26329" w:rsidP="00E21B67">
      <w:pPr>
        <w:ind w:left="567"/>
        <w:rPr>
          <w:b/>
          <w:bCs/>
          <w:lang w:val="sr-Cyrl-CS"/>
        </w:rPr>
      </w:pPr>
      <w:r w:rsidRPr="00027C2A">
        <w:rPr>
          <w:b/>
          <w:bCs/>
        </w:rPr>
        <w:tab/>
        <w:t>Taб</w:t>
      </w:r>
      <w:r w:rsidRPr="00027C2A">
        <w:rPr>
          <w:b/>
          <w:bCs/>
          <w:lang w:val="sr-Cyrl-CS"/>
        </w:rPr>
        <w:t xml:space="preserve">ела 2. </w:t>
      </w:r>
      <w:r w:rsidR="00FA78F5" w:rsidRPr="00027C2A">
        <w:rPr>
          <w:b/>
          <w:bCs/>
        </w:rPr>
        <w:t>-</w:t>
      </w:r>
      <w:r w:rsidRPr="00027C2A">
        <w:rPr>
          <w:b/>
          <w:bCs/>
          <w:lang w:val="sr-Cyrl-CS"/>
        </w:rPr>
        <w:t xml:space="preserve"> Програмска активност</w:t>
      </w:r>
    </w:p>
    <w:p w:rsidR="00E21B67" w:rsidRPr="00027C2A" w:rsidRDefault="00E21B67" w:rsidP="00E21B67">
      <w:pPr>
        <w:ind w:left="567"/>
        <w:rPr>
          <w:b/>
          <w:bCs/>
          <w:lang w:val="sr-Cyrl-CS"/>
        </w:rPr>
      </w:pPr>
    </w:p>
    <w:p w:rsidR="00F26329" w:rsidRPr="00130D51" w:rsidRDefault="00F26329" w:rsidP="00910CBD">
      <w:pPr>
        <w:jc w:val="both"/>
        <w:rPr>
          <w:lang w:val="sr-Cyrl-CS"/>
        </w:rPr>
      </w:pPr>
      <w:r>
        <w:rPr>
          <w:lang w:val="sr-Cyrl-CS"/>
        </w:rPr>
        <w:tab/>
      </w:r>
      <w:r w:rsidRPr="00130D51">
        <w:rPr>
          <w:lang w:val="sr-Cyrl-CS"/>
        </w:rPr>
        <w:t xml:space="preserve">Овај образац попуњавају сви индиректни буџетски корисници и службе у оквиру </w:t>
      </w:r>
      <w:r w:rsidR="004952E7">
        <w:t xml:space="preserve">Општинске </w:t>
      </w:r>
      <w:r w:rsidRPr="00130D51">
        <w:rPr>
          <w:lang w:val="sr-Cyrl-CS"/>
        </w:rPr>
        <w:t xml:space="preserve"> управе које директно реализују програмске акти</w:t>
      </w:r>
      <w:r w:rsidR="004952E7">
        <w:rPr>
          <w:lang w:val="sr-Cyrl-CS"/>
        </w:rPr>
        <w:t>вности дефинисане у процесу при</w:t>
      </w:r>
      <w:r w:rsidR="000A03E4">
        <w:rPr>
          <w:lang w:val="sr-Cyrl-CS"/>
        </w:rPr>
        <w:t>преме буџета за 20</w:t>
      </w:r>
      <w:r w:rsidR="00E23CC7">
        <w:t>2</w:t>
      </w:r>
      <w:r w:rsidR="00153DEA">
        <w:t>2</w:t>
      </w:r>
      <w:r w:rsidRPr="00130D51">
        <w:rPr>
          <w:lang w:val="sr-Cyrl-CS"/>
        </w:rPr>
        <w:t xml:space="preserve">. годину.  </w:t>
      </w:r>
    </w:p>
    <w:p w:rsidR="000453B6" w:rsidRDefault="000453B6" w:rsidP="00E21B67">
      <w:pPr>
        <w:rPr>
          <w:b/>
          <w:lang w:val="sr-Cyrl-CS"/>
        </w:rPr>
      </w:pPr>
      <w:r>
        <w:rPr>
          <w:b/>
          <w:lang w:val="sr-Cyrl-CS"/>
        </w:rPr>
        <w:tab/>
      </w:r>
    </w:p>
    <w:p w:rsidR="000453B6" w:rsidRPr="00027C2A" w:rsidRDefault="000453B6" w:rsidP="00E21B67">
      <w:pPr>
        <w:rPr>
          <w:b/>
        </w:rPr>
      </w:pPr>
      <w:r>
        <w:rPr>
          <w:b/>
          <w:lang w:val="sr-Cyrl-CS"/>
        </w:rPr>
        <w:tab/>
      </w:r>
      <w:r w:rsidRPr="00027C2A">
        <w:rPr>
          <w:b/>
          <w:lang w:val="sr-Cyrl-CS"/>
        </w:rPr>
        <w:t>Табела 3</w:t>
      </w:r>
      <w:r w:rsidR="00FA1A59">
        <w:rPr>
          <w:b/>
          <w:lang w:val="sr-Cyrl-CS"/>
        </w:rPr>
        <w:t>.</w:t>
      </w:r>
      <w:r w:rsidRPr="00027C2A">
        <w:rPr>
          <w:b/>
          <w:lang w:val="sr-Cyrl-CS"/>
        </w:rPr>
        <w:t xml:space="preserve"> - Пројекат</w:t>
      </w:r>
    </w:p>
    <w:p w:rsidR="000453B6" w:rsidRPr="00130D51" w:rsidRDefault="000453B6" w:rsidP="00E21B67">
      <w:pPr>
        <w:rPr>
          <w:b/>
        </w:rPr>
      </w:pPr>
    </w:p>
    <w:p w:rsidR="000453B6" w:rsidRPr="001365A4" w:rsidRDefault="000453B6" w:rsidP="00E21B67">
      <w:pPr>
        <w:spacing w:after="120"/>
        <w:jc w:val="both"/>
        <w:rPr>
          <w:lang w:val="sr-Cyrl-CS"/>
        </w:rPr>
      </w:pPr>
      <w:r>
        <w:rPr>
          <w:lang w:val="sr-Cyrl-CS"/>
        </w:rPr>
        <w:tab/>
      </w:r>
      <w:r w:rsidRPr="00130D51">
        <w:rPr>
          <w:lang w:val="sr-Cyrl-CS"/>
        </w:rPr>
        <w:t>Овај образац попуњавају сви индиректни буџетски кор</w:t>
      </w:r>
      <w:r>
        <w:rPr>
          <w:lang w:val="sr-Cyrl-CS"/>
        </w:rPr>
        <w:t>исници и службе у оквиру Општинске</w:t>
      </w:r>
      <w:r w:rsidRPr="00130D51">
        <w:rPr>
          <w:lang w:val="sr-Cyrl-CS"/>
        </w:rPr>
        <w:t xml:space="preserve"> управе које директно реализују</w:t>
      </w:r>
      <w:r w:rsidRPr="00130D51">
        <w:t xml:space="preserve"> </w:t>
      </w:r>
      <w:r w:rsidRPr="00130D51">
        <w:rPr>
          <w:lang w:val="sr-Cyrl-CS"/>
        </w:rPr>
        <w:t>предложени пројекат</w:t>
      </w:r>
      <w:r>
        <w:rPr>
          <w:lang w:val="sr-Cyrl-CS"/>
        </w:rPr>
        <w:t>.</w:t>
      </w:r>
    </w:p>
    <w:p w:rsidR="00346234" w:rsidRDefault="00106117" w:rsidP="00910CBD">
      <w:pPr>
        <w:autoSpaceDE w:val="0"/>
        <w:autoSpaceDN w:val="0"/>
        <w:adjustRightInd w:val="0"/>
        <w:ind w:firstLine="720"/>
        <w:jc w:val="both"/>
        <w:rPr>
          <w:b/>
        </w:rPr>
      </w:pPr>
      <w:r w:rsidRPr="009F5412">
        <w:rPr>
          <w:rFonts w:eastAsiaTheme="minorHAnsi"/>
        </w:rPr>
        <w:t>Мора се још једном нагласити је чланом 31. Закона</w:t>
      </w:r>
      <w:r w:rsidRPr="009F5412">
        <w:rPr>
          <w:lang w:val="sr-Cyrl-CS"/>
        </w:rPr>
        <w:t xml:space="preserve"> о буџетском систему</w:t>
      </w:r>
      <w:r w:rsidRPr="009F5412">
        <w:rPr>
          <w:rFonts w:eastAsiaTheme="minorHAnsi"/>
          <w:b/>
        </w:rPr>
        <w:t xml:space="preserve"> </w:t>
      </w:r>
      <w:r w:rsidRPr="009F5412">
        <w:rPr>
          <w:rFonts w:eastAsiaTheme="minorHAnsi"/>
        </w:rPr>
        <w:t xml:space="preserve">предвиђено да </w:t>
      </w:r>
      <w:r w:rsidRPr="009F5412">
        <w:t>предлог финансијског плана</w:t>
      </w:r>
      <w:r w:rsidRPr="009F5412">
        <w:rPr>
          <w:b/>
        </w:rPr>
        <w:t xml:space="preserve"> </w:t>
      </w:r>
      <w:r w:rsidRPr="009F5412">
        <w:t>мора да</w:t>
      </w:r>
      <w:r w:rsidRPr="009F5412">
        <w:rPr>
          <w:b/>
        </w:rPr>
        <w:t xml:space="preserve"> </w:t>
      </w:r>
      <w:r w:rsidRPr="009F5412">
        <w:t>садржи</w:t>
      </w:r>
      <w:r w:rsidRPr="009F5412">
        <w:rPr>
          <w:b/>
        </w:rPr>
        <w:t xml:space="preserve"> извештај о учинку програма за првих шест месеци текуће године</w:t>
      </w:r>
      <w:r w:rsidR="00276159" w:rsidRPr="009F5412">
        <w:rPr>
          <w:b/>
        </w:rPr>
        <w:t>.</w:t>
      </w:r>
    </w:p>
    <w:p w:rsidR="00A720D6" w:rsidRPr="00A720D6" w:rsidRDefault="00A720D6" w:rsidP="00910CB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</w:rPr>
      </w:pPr>
    </w:p>
    <w:p w:rsidR="00A720D6" w:rsidRPr="00B37D05" w:rsidRDefault="00A720D6" w:rsidP="00910CBD">
      <w:pPr>
        <w:spacing w:after="60"/>
        <w:ind w:left="720"/>
        <w:jc w:val="both"/>
        <w:rPr>
          <w:bCs/>
        </w:rPr>
      </w:pPr>
      <w:r w:rsidRPr="00A720D6">
        <w:rPr>
          <w:b/>
          <w:bCs/>
          <w:lang w:val="sr-Cyrl-CS"/>
        </w:rPr>
        <w:t>Захтев за додатна средства</w:t>
      </w:r>
      <w:r>
        <w:rPr>
          <w:bCs/>
          <w:lang w:val="sr-Cyrl-CS"/>
        </w:rPr>
        <w:t xml:space="preserve"> </w:t>
      </w:r>
    </w:p>
    <w:p w:rsidR="009D1927" w:rsidRPr="00A720D6" w:rsidRDefault="00A720D6" w:rsidP="00BC7643">
      <w:pPr>
        <w:pStyle w:val="Default"/>
        <w:jc w:val="both"/>
      </w:pPr>
      <w:r>
        <w:tab/>
        <w:t xml:space="preserve"> </w:t>
      </w:r>
    </w:p>
    <w:p w:rsidR="00780A12" w:rsidRPr="002F3F26" w:rsidRDefault="00910CBD" w:rsidP="00217EE9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Упутство даје</w:t>
      </w:r>
      <w:r w:rsidR="00F63AA1" w:rsidRPr="002F3F26">
        <w:rPr>
          <w:lang w:val="sr-Cyrl-CS"/>
        </w:rPr>
        <w:t xml:space="preserve"> могућност за исказивање з</w:t>
      </w:r>
      <w:r w:rsidR="00FF2232" w:rsidRPr="002F3F26">
        <w:rPr>
          <w:b/>
          <w:lang w:val="sr-Cyrl-CS"/>
        </w:rPr>
        <w:t>ахтев</w:t>
      </w:r>
      <w:r w:rsidR="00F63AA1" w:rsidRPr="002F3F26">
        <w:rPr>
          <w:b/>
          <w:lang w:val="sr-Cyrl-CS"/>
        </w:rPr>
        <w:t>а</w:t>
      </w:r>
      <w:r w:rsidR="00FF2232" w:rsidRPr="002F3F26">
        <w:rPr>
          <w:b/>
          <w:lang w:val="sr-Cyrl-CS"/>
        </w:rPr>
        <w:t xml:space="preserve"> за додатна средства</w:t>
      </w:r>
      <w:r w:rsidR="00FF2232" w:rsidRPr="002F3F26">
        <w:rPr>
          <w:lang w:val="sr-Cyrl-CS"/>
        </w:rPr>
        <w:t xml:space="preserve"> за текуће активности</w:t>
      </w:r>
      <w:r w:rsidR="00C415C9">
        <w:rPr>
          <w:lang w:val="sr-Cyrl-CS"/>
        </w:rPr>
        <w:t xml:space="preserve"> или нове пројекте који</w:t>
      </w:r>
      <w:r w:rsidR="002374B2">
        <w:rPr>
          <w:lang w:val="sr-Cyrl-CS"/>
        </w:rPr>
        <w:t xml:space="preserve"> не могу бити усклађени</w:t>
      </w:r>
      <w:r w:rsidR="00FF2232" w:rsidRPr="002F3F26">
        <w:rPr>
          <w:lang w:val="sr-Cyrl-CS"/>
        </w:rPr>
        <w:t xml:space="preserve"> са ограничењем средстава за текуће </w:t>
      </w:r>
      <w:r w:rsidR="002374B2">
        <w:rPr>
          <w:lang w:val="sr-Cyrl-CS"/>
        </w:rPr>
        <w:t>активности</w:t>
      </w:r>
      <w:r w:rsidR="00FF2232" w:rsidRPr="002F3F26">
        <w:rPr>
          <w:lang w:val="sr-Cyrl-CS"/>
        </w:rPr>
        <w:t>, са предлогом приоритета,</w:t>
      </w:r>
      <w:r w:rsidR="00B34785">
        <w:rPr>
          <w:lang w:val="sr-Cyrl-CS"/>
        </w:rPr>
        <w:t xml:space="preserve"> </w:t>
      </w:r>
      <w:r w:rsidR="00F01B98">
        <w:rPr>
          <w:lang w:val="sr-Cyrl-CS"/>
        </w:rPr>
        <w:t>а</w:t>
      </w:r>
      <w:r w:rsidR="00FF2232" w:rsidRPr="002F3F26">
        <w:rPr>
          <w:lang w:val="sr-Cyrl-CS"/>
        </w:rPr>
        <w:t xml:space="preserve"> које треба размот</w:t>
      </w:r>
      <w:r w:rsidR="00F63AA1" w:rsidRPr="002F3F26">
        <w:rPr>
          <w:lang w:val="sr-Cyrl-CS"/>
        </w:rPr>
        <w:t>рити у поступку доношења буџета.</w:t>
      </w:r>
    </w:p>
    <w:p w:rsidR="00E947CF" w:rsidRPr="000A39A5" w:rsidRDefault="00FF2232" w:rsidP="00217EE9">
      <w:pPr>
        <w:jc w:val="both"/>
        <w:rPr>
          <w:b/>
          <w:lang w:val="sr-Cyrl-CS"/>
        </w:rPr>
      </w:pPr>
      <w:r w:rsidRPr="002F3F26">
        <w:rPr>
          <w:lang w:val="sr-Cyrl-CS"/>
        </w:rPr>
        <w:tab/>
      </w:r>
      <w:r w:rsidR="00DD3911" w:rsidRPr="00DD3911">
        <w:rPr>
          <w:b/>
          <w:lang w:val="sr-Cyrl-CS"/>
        </w:rPr>
        <w:t xml:space="preserve">Захтев за додатна средства </w:t>
      </w:r>
      <w:r w:rsidR="00DD3911" w:rsidRPr="00C12633">
        <w:rPr>
          <w:lang w:val="sr-Cyrl-CS"/>
        </w:rPr>
        <w:t>састоји</w:t>
      </w:r>
      <w:r w:rsidRPr="00C12633">
        <w:rPr>
          <w:lang w:val="sr-Cyrl-CS"/>
        </w:rPr>
        <w:t xml:space="preserve"> се из</w:t>
      </w:r>
      <w:r w:rsidRPr="00DD3911">
        <w:rPr>
          <w:b/>
          <w:lang w:val="sr-Cyrl-CS"/>
        </w:rPr>
        <w:t xml:space="preserve"> писм</w:t>
      </w:r>
      <w:r w:rsidRPr="00DD3911">
        <w:rPr>
          <w:b/>
        </w:rPr>
        <w:t>e</w:t>
      </w:r>
      <w:r w:rsidRPr="00DD3911">
        <w:rPr>
          <w:b/>
          <w:lang w:val="sr-Cyrl-CS"/>
        </w:rPr>
        <w:t xml:space="preserve">ног објашњења </w:t>
      </w:r>
      <w:r w:rsidRPr="00C12633">
        <w:rPr>
          <w:lang w:val="sr-Cyrl-CS"/>
        </w:rPr>
        <w:t xml:space="preserve">и </w:t>
      </w:r>
      <w:r w:rsidRPr="00DD3911">
        <w:rPr>
          <w:b/>
          <w:lang w:val="sr-Cyrl-CS"/>
        </w:rPr>
        <w:t>финансијског захтева.</w:t>
      </w:r>
      <w:r w:rsidR="009108B8" w:rsidRPr="002F3F26">
        <w:t xml:space="preserve"> </w:t>
      </w:r>
    </w:p>
    <w:p w:rsidR="00E947CF" w:rsidRPr="002F3F26" w:rsidRDefault="00E947CF" w:rsidP="00217EE9">
      <w:pPr>
        <w:ind w:firstLine="720"/>
        <w:jc w:val="both"/>
        <w:rPr>
          <w:lang w:val="sr-Cyrl-CS"/>
        </w:rPr>
      </w:pPr>
    </w:p>
    <w:p w:rsidR="00F57C53" w:rsidRDefault="00FF2232" w:rsidP="00217EE9">
      <w:pPr>
        <w:ind w:firstLine="680"/>
        <w:jc w:val="both"/>
        <w:rPr>
          <w:lang w:val="sr-Cyrl-CS"/>
        </w:rPr>
      </w:pPr>
      <w:r w:rsidRPr="00935028">
        <w:rPr>
          <w:lang w:val="sr-Cyrl-CS"/>
        </w:rPr>
        <w:t>Упутство и табеле</w:t>
      </w:r>
      <w:r w:rsidR="009409DB">
        <w:rPr>
          <w:lang w:val="sr-Cyrl-CS"/>
        </w:rPr>
        <w:t xml:space="preserve"> можете преузети са</w:t>
      </w:r>
      <w:r w:rsidR="009409DB">
        <w:t xml:space="preserve"> </w:t>
      </w:r>
      <w:r w:rsidR="00E830DB">
        <w:rPr>
          <w:lang w:val="sr-Cyrl-CS"/>
        </w:rPr>
        <w:t>сајта</w:t>
      </w:r>
      <w:r w:rsidRPr="002F3F26">
        <w:rPr>
          <w:lang w:val="sr-Cyrl-CS"/>
        </w:rPr>
        <w:t xml:space="preserve"> </w:t>
      </w:r>
      <w:hyperlink r:id="rId9" w:history="1">
        <w:r w:rsidRPr="002F3F26">
          <w:rPr>
            <w:rStyle w:val="Hyperlink"/>
            <w:b/>
            <w:lang w:val="sr-Latn-CS"/>
          </w:rPr>
          <w:t>www.gornjimilanovac.rs</w:t>
        </w:r>
      </w:hyperlink>
      <w:r w:rsidRPr="002F3F26">
        <w:rPr>
          <w:lang w:val="sr-Cyrl-CS"/>
        </w:rPr>
        <w:t xml:space="preserve"> </w:t>
      </w:r>
      <w:r w:rsidR="00E830DB">
        <w:rPr>
          <w:lang w:val="sr-Cyrl-CS"/>
        </w:rPr>
        <w:t>под називом</w:t>
      </w:r>
      <w:r w:rsidR="006B38B6">
        <w:rPr>
          <w:lang w:val="sr-Cyrl-CS"/>
        </w:rPr>
        <w:t xml:space="preserve"> </w:t>
      </w:r>
      <w:r w:rsidRPr="002F3F26">
        <w:rPr>
          <w:lang w:val="sr-Cyrl-CS"/>
        </w:rPr>
        <w:t xml:space="preserve"> </w:t>
      </w:r>
      <w:r w:rsidR="00F57C53" w:rsidRPr="00935028">
        <w:rPr>
          <w:b/>
          <w:lang w:val="sr-Cyrl-CS"/>
        </w:rPr>
        <w:t>Упутство за припрему буџета општине Горњи Милановац за 20</w:t>
      </w:r>
      <w:r w:rsidR="00C7358B">
        <w:rPr>
          <w:b/>
        </w:rPr>
        <w:t>2</w:t>
      </w:r>
      <w:r w:rsidR="00E947CF">
        <w:rPr>
          <w:b/>
        </w:rPr>
        <w:t>2</w:t>
      </w:r>
      <w:r w:rsidR="00F57C53" w:rsidRPr="00935028">
        <w:rPr>
          <w:b/>
          <w:lang w:val="sr-Cyrl-CS"/>
        </w:rPr>
        <w:t>. годину</w:t>
      </w:r>
      <w:r w:rsidR="00F57C53">
        <w:rPr>
          <w:lang w:val="sr-Cyrl-CS"/>
        </w:rPr>
        <w:t>.</w:t>
      </w:r>
    </w:p>
    <w:p w:rsidR="0074081F" w:rsidRPr="00F57C53" w:rsidRDefault="0074081F" w:rsidP="00217EE9">
      <w:pPr>
        <w:jc w:val="both"/>
        <w:rPr>
          <w:lang w:val="sr-Cyrl-CS"/>
        </w:rPr>
      </w:pPr>
    </w:p>
    <w:p w:rsidR="00AB1596" w:rsidRPr="00902DB3" w:rsidRDefault="00FF2232" w:rsidP="00902DB3">
      <w:pPr>
        <w:ind w:firstLine="720"/>
        <w:jc w:val="both"/>
      </w:pPr>
      <w:r w:rsidRPr="002F3F26">
        <w:rPr>
          <w:lang w:val="sr-Cyrl-CS"/>
        </w:rPr>
        <w:t>Рок за достављање предлога финансијских планова директних и и</w:t>
      </w:r>
      <w:r w:rsidR="006E24F9">
        <w:rPr>
          <w:lang w:val="sr-Cyrl-CS"/>
        </w:rPr>
        <w:t xml:space="preserve">ндиректних корисника Одељењу за </w:t>
      </w:r>
      <w:r w:rsidR="006E24F9">
        <w:t>финансије, рачуноводство и локалну пореску администрацију</w:t>
      </w:r>
      <w:r w:rsidR="006E24F9" w:rsidRPr="002F3F26">
        <w:rPr>
          <w:lang w:val="sr-Cyrl-CS"/>
        </w:rPr>
        <w:t xml:space="preserve"> </w:t>
      </w:r>
      <w:r w:rsidRPr="002F3F26">
        <w:rPr>
          <w:lang w:val="sr-Cyrl-CS"/>
        </w:rPr>
        <w:t xml:space="preserve">је </w:t>
      </w:r>
      <w:r w:rsidR="000848E2" w:rsidRPr="002F3F26">
        <w:rPr>
          <w:b/>
          <w:lang w:val="sr-Cyrl-CS"/>
        </w:rPr>
        <w:t>1.</w:t>
      </w:r>
      <w:r w:rsidR="000F3757" w:rsidRPr="002F3F26">
        <w:rPr>
          <w:b/>
          <w:lang w:val="en-GB"/>
        </w:rPr>
        <w:t xml:space="preserve"> </w:t>
      </w:r>
      <w:r w:rsidR="00FD796A">
        <w:rPr>
          <w:b/>
          <w:lang w:val="sr-Cyrl-CS"/>
        </w:rPr>
        <w:t>септембар 20</w:t>
      </w:r>
      <w:r w:rsidR="00DB7BE0">
        <w:rPr>
          <w:b/>
          <w:lang w:val="sr-Cyrl-CS"/>
        </w:rPr>
        <w:t>2</w:t>
      </w:r>
      <w:r w:rsidR="00C14B05">
        <w:rPr>
          <w:b/>
          <w:lang w:val="sr-Cyrl-CS"/>
        </w:rPr>
        <w:t>1</w:t>
      </w:r>
      <w:r w:rsidR="000848E2" w:rsidRPr="002F3F26">
        <w:rPr>
          <w:b/>
          <w:lang w:val="sr-Cyrl-CS"/>
        </w:rPr>
        <w:t>.</w:t>
      </w:r>
      <w:r w:rsidR="000F3757" w:rsidRPr="002F3F26">
        <w:rPr>
          <w:b/>
          <w:lang w:val="en-GB"/>
        </w:rPr>
        <w:t xml:space="preserve"> </w:t>
      </w:r>
      <w:r w:rsidR="000848E2" w:rsidRPr="002F3F26">
        <w:rPr>
          <w:b/>
          <w:lang w:val="sr-Cyrl-CS"/>
        </w:rPr>
        <w:t>године</w:t>
      </w:r>
      <w:r w:rsidR="000F3757" w:rsidRPr="002F3F26">
        <w:rPr>
          <w:b/>
          <w:lang w:val="en-GB"/>
        </w:rPr>
        <w:t>.</w:t>
      </w:r>
    </w:p>
    <w:p w:rsidR="00D539E5" w:rsidRPr="002F3F26" w:rsidRDefault="00D539E5" w:rsidP="008730A0">
      <w:pPr>
        <w:jc w:val="both"/>
        <w:rPr>
          <w:b/>
          <w:lang w:val="sr-Cyrl-CS"/>
        </w:rPr>
      </w:pPr>
    </w:p>
    <w:p w:rsidR="007A2B17" w:rsidRPr="004A169A" w:rsidRDefault="007D0A79" w:rsidP="00217EE9">
      <w:pPr>
        <w:autoSpaceDE w:val="0"/>
        <w:autoSpaceDN w:val="0"/>
        <w:adjustRightInd w:val="0"/>
        <w:ind w:firstLine="720"/>
        <w:jc w:val="both"/>
        <w:rPr>
          <w:b/>
        </w:rPr>
      </w:pPr>
      <w:r w:rsidRPr="002F3F26">
        <w:rPr>
          <w:b/>
          <w:lang w:val="sr-Cyrl-CS"/>
        </w:rPr>
        <w:t xml:space="preserve">НАПОМЕНА: </w:t>
      </w:r>
      <w:r w:rsidR="005F47FF" w:rsidRPr="002F3F26">
        <w:rPr>
          <w:lang w:val="sr-Cyrl-CS"/>
        </w:rPr>
        <w:t>По усвајању</w:t>
      </w:r>
      <w:r w:rsidR="005F47FF" w:rsidRPr="002F3F26">
        <w:t xml:space="preserve"> </w:t>
      </w:r>
      <w:r w:rsidR="007A2B17">
        <w:t xml:space="preserve">ревидиране </w:t>
      </w:r>
      <w:r w:rsidR="005F47FF" w:rsidRPr="002F3F26">
        <w:rPr>
          <w:lang w:val="sr-Cyrl-CS"/>
        </w:rPr>
        <w:t>Фискалне стратегије за 20</w:t>
      </w:r>
      <w:r w:rsidR="00763871">
        <w:rPr>
          <w:lang w:val="sr-Cyrl-CS"/>
        </w:rPr>
        <w:t>2</w:t>
      </w:r>
      <w:r w:rsidR="006720F4">
        <w:rPr>
          <w:lang w:val="sr-Cyrl-CS"/>
        </w:rPr>
        <w:t>2</w:t>
      </w:r>
      <w:r w:rsidR="00FF27E4">
        <w:rPr>
          <w:lang w:val="sr-Cyrl-CS"/>
        </w:rPr>
        <w:t xml:space="preserve">. годину </w:t>
      </w:r>
      <w:r w:rsidR="00A85AFC" w:rsidRPr="002F3F26">
        <w:rPr>
          <w:lang w:val="sr-Cyrl-CS"/>
        </w:rPr>
        <w:t>сви буџетски корисници биће благовремено обавештени, како би приступили</w:t>
      </w:r>
      <w:r w:rsidR="009F5412">
        <w:rPr>
          <w:lang w:val="sr-Cyrl-CS"/>
        </w:rPr>
        <w:t xml:space="preserve"> евентуалним</w:t>
      </w:r>
      <w:r w:rsidR="00A85AFC" w:rsidRPr="002F3F26">
        <w:rPr>
          <w:lang w:val="sr-Cyrl-CS"/>
        </w:rPr>
        <w:t xml:space="preserve"> изменама и допунама предлога финансијских планова.</w:t>
      </w:r>
      <w:r w:rsidR="005550B6">
        <w:t xml:space="preserve"> </w:t>
      </w:r>
      <w:r w:rsidR="004A169A" w:rsidRPr="005550B6">
        <w:t>Eвентуална</w:t>
      </w:r>
      <w:r w:rsidR="004A169A">
        <w:t xml:space="preserve"> корекција </w:t>
      </w:r>
      <w:r w:rsidR="007A2B17" w:rsidRPr="003771EB">
        <w:t>средстава за плате извршиће се у току буџетске процедуре на основу ревидиране Фискалне стратегије, измена и допуна Закона о буџетском систему и процене потребних средстава</w:t>
      </w:r>
      <w:r w:rsidR="00763871">
        <w:t xml:space="preserve"> за расходе за запослене за 202</w:t>
      </w:r>
      <w:r w:rsidR="006720F4">
        <w:t>2</w:t>
      </w:r>
      <w:r w:rsidR="007A2B17" w:rsidRPr="003771EB">
        <w:t>. годину.</w:t>
      </w:r>
    </w:p>
    <w:p w:rsidR="005A18F0" w:rsidRDefault="005A18F0" w:rsidP="00FF3B40">
      <w:pPr>
        <w:ind w:firstLine="720"/>
        <w:jc w:val="both"/>
        <w:rPr>
          <w:lang w:val="sr-Cyrl-CS"/>
        </w:rPr>
      </w:pPr>
    </w:p>
    <w:p w:rsidR="00DB1477" w:rsidRPr="00FF3B40" w:rsidRDefault="00FF2232" w:rsidP="00FF3B40">
      <w:pPr>
        <w:ind w:firstLine="720"/>
        <w:jc w:val="both"/>
        <w:rPr>
          <w:b/>
          <w:lang w:val="sr-Cyrl-CS"/>
        </w:rPr>
      </w:pPr>
      <w:r w:rsidRPr="002F3F26">
        <w:rPr>
          <w:lang w:val="sr-Cyrl-CS"/>
        </w:rPr>
        <w:tab/>
      </w:r>
    </w:p>
    <w:p w:rsidR="00FF2232" w:rsidRPr="006720F4" w:rsidRDefault="00FF2232" w:rsidP="00217EE9">
      <w:r w:rsidRPr="002F3F26">
        <w:rPr>
          <w:lang w:val="sr-Cyrl-CS"/>
        </w:rPr>
        <w:t>Број:</w:t>
      </w:r>
      <w:r w:rsidRPr="002F3F26">
        <w:t xml:space="preserve"> </w:t>
      </w:r>
      <w:r w:rsidR="00580994">
        <w:rPr>
          <w:lang w:val="en-GB"/>
        </w:rPr>
        <w:t>4</w:t>
      </w:r>
      <w:r w:rsidR="001209C6">
        <w:rPr>
          <w:lang w:val="en-GB"/>
        </w:rPr>
        <w:t>-400-</w:t>
      </w:r>
      <w:r w:rsidR="00217EE9">
        <w:t>122</w:t>
      </w:r>
      <w:r w:rsidR="001209C6">
        <w:rPr>
          <w:lang w:val="en-GB"/>
        </w:rPr>
        <w:t>/</w:t>
      </w:r>
      <w:r w:rsidR="0041296A">
        <w:t>20</w:t>
      </w:r>
      <w:r w:rsidR="00DB3D7D">
        <w:t>2</w:t>
      </w:r>
      <w:r w:rsidR="006720F4">
        <w:t>1</w:t>
      </w:r>
    </w:p>
    <w:p w:rsidR="00FF2232" w:rsidRPr="002F3F26" w:rsidRDefault="006720F4" w:rsidP="00217EE9">
      <w:pPr>
        <w:jc w:val="both"/>
        <w:rPr>
          <w:lang w:val="sr-Cyrl-CS"/>
        </w:rPr>
      </w:pPr>
      <w:r>
        <w:t>2</w:t>
      </w:r>
      <w:r w:rsidR="00D15FF2">
        <w:t>8</w:t>
      </w:r>
      <w:r w:rsidR="001209C6">
        <w:t xml:space="preserve">. јул </w:t>
      </w:r>
      <w:r w:rsidR="0041296A">
        <w:rPr>
          <w:lang w:val="sr-Cyrl-CS"/>
        </w:rPr>
        <w:t>202</w:t>
      </w:r>
      <w:r w:rsidR="00C14B05">
        <w:rPr>
          <w:lang w:val="sr-Cyrl-CS"/>
        </w:rPr>
        <w:t>1</w:t>
      </w:r>
      <w:r w:rsidR="000848E2" w:rsidRPr="002F3F26">
        <w:rPr>
          <w:lang w:val="sr-Cyrl-CS"/>
        </w:rPr>
        <w:t>.</w:t>
      </w:r>
      <w:r w:rsidR="001209C6">
        <w:rPr>
          <w:lang w:val="sr-Cyrl-CS"/>
        </w:rPr>
        <w:t xml:space="preserve"> </w:t>
      </w:r>
      <w:r w:rsidR="000848E2" w:rsidRPr="002F3F26">
        <w:rPr>
          <w:lang w:val="sr-Cyrl-CS"/>
        </w:rPr>
        <w:t>године</w:t>
      </w:r>
    </w:p>
    <w:p w:rsidR="00FF2232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>Горњи Милановац</w:t>
      </w:r>
    </w:p>
    <w:p w:rsidR="003D635C" w:rsidRPr="00E20515" w:rsidRDefault="003D635C" w:rsidP="008730A0"/>
    <w:p w:rsidR="003D635C" w:rsidRDefault="003D635C" w:rsidP="008730A0"/>
    <w:p w:rsidR="00ED4970" w:rsidRPr="002F3F26" w:rsidRDefault="00BF4C88" w:rsidP="008730A0">
      <w:pPr>
        <w:ind w:left="5040"/>
        <w:jc w:val="center"/>
        <w:rPr>
          <w:lang w:val="sr-Cyrl-CS"/>
        </w:rPr>
      </w:pPr>
      <w:r w:rsidRPr="002F3F26">
        <w:rPr>
          <w:lang w:val="sr-Cyrl-CS"/>
        </w:rPr>
        <w:t>НАЧЕЛНИК</w:t>
      </w:r>
    </w:p>
    <w:p w:rsidR="00BF4C88" w:rsidRPr="002F3F26" w:rsidRDefault="00BF4C88" w:rsidP="008730A0">
      <w:pPr>
        <w:ind w:left="5040"/>
        <w:jc w:val="center"/>
        <w:rPr>
          <w:lang w:val="sr-Cyrl-CS"/>
        </w:rPr>
      </w:pPr>
      <w:r w:rsidRPr="002F3F26">
        <w:rPr>
          <w:lang w:val="sr-Cyrl-CS"/>
        </w:rPr>
        <w:t>ОПШТИНСКЕ УПРАВЕ</w:t>
      </w:r>
    </w:p>
    <w:p w:rsidR="00ED4970" w:rsidRPr="009F5412" w:rsidRDefault="0085646B" w:rsidP="008730A0">
      <w:r>
        <w:t xml:space="preserve">                                                                                                   </w:t>
      </w:r>
      <w:r w:rsidR="009F5412">
        <w:t xml:space="preserve">      Дејан Вељовић</w:t>
      </w:r>
    </w:p>
    <w:sectPr w:rsidR="00ED4970" w:rsidRPr="009F5412" w:rsidSect="005C1B5D">
      <w:footerReference w:type="even" r:id="rId10"/>
      <w:footerReference w:type="default" r:id="rId11"/>
      <w:footerReference w:type="first" r:id="rId12"/>
      <w:pgSz w:w="11907" w:h="16840" w:code="9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63" w:rsidRDefault="00A63263" w:rsidP="00C934E0">
      <w:r>
        <w:separator/>
      </w:r>
    </w:p>
  </w:endnote>
  <w:endnote w:type="continuationSeparator" w:id="0">
    <w:p w:rsidR="00A63263" w:rsidRDefault="00A63263" w:rsidP="00C9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11" w:rsidRDefault="00D05D98" w:rsidP="00712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08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0811" w:rsidRDefault="003F0811" w:rsidP="00712F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5249"/>
      <w:docPartObj>
        <w:docPartGallery w:val="Page Numbers (Bottom of Page)"/>
        <w:docPartUnique/>
      </w:docPartObj>
    </w:sdtPr>
    <w:sdtContent>
      <w:p w:rsidR="003F0811" w:rsidRDefault="00D05D98">
        <w:pPr>
          <w:pStyle w:val="Footer"/>
          <w:jc w:val="right"/>
        </w:pPr>
        <w:fldSimple w:instr=" PAGE   \* MERGEFORMAT ">
          <w:r w:rsidR="00EE5434">
            <w:rPr>
              <w:noProof/>
            </w:rPr>
            <w:t>18</w:t>
          </w:r>
        </w:fldSimple>
      </w:p>
    </w:sdtContent>
  </w:sdt>
  <w:p w:rsidR="003F0811" w:rsidRDefault="003F0811" w:rsidP="00712F9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11" w:rsidRDefault="003F0811">
    <w:pPr>
      <w:pStyle w:val="Footer"/>
      <w:jc w:val="right"/>
    </w:pPr>
  </w:p>
  <w:p w:rsidR="003F0811" w:rsidRDefault="003F0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63" w:rsidRDefault="00A63263" w:rsidP="00C934E0">
      <w:r>
        <w:separator/>
      </w:r>
    </w:p>
  </w:footnote>
  <w:footnote w:type="continuationSeparator" w:id="0">
    <w:p w:rsidR="00A63263" w:rsidRDefault="00A63263" w:rsidP="00C93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AA8"/>
    <w:multiLevelType w:val="hybridMultilevel"/>
    <w:tmpl w:val="B90A6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576E5"/>
    <w:multiLevelType w:val="hybridMultilevel"/>
    <w:tmpl w:val="F11C533A"/>
    <w:lvl w:ilvl="0" w:tplc="960E05DE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6666C"/>
    <w:multiLevelType w:val="hybridMultilevel"/>
    <w:tmpl w:val="C666CC8E"/>
    <w:lvl w:ilvl="0" w:tplc="0B24CBE0">
      <w:start w:val="1"/>
      <w:numFmt w:val="decimalZero"/>
      <w:lvlText w:val="(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5582"/>
    <w:multiLevelType w:val="hybridMultilevel"/>
    <w:tmpl w:val="CBF2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B2081"/>
    <w:multiLevelType w:val="hybridMultilevel"/>
    <w:tmpl w:val="544E884C"/>
    <w:lvl w:ilvl="0" w:tplc="ECE48F58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6392E11"/>
    <w:multiLevelType w:val="hybridMultilevel"/>
    <w:tmpl w:val="B426A5C4"/>
    <w:lvl w:ilvl="0" w:tplc="F7168DD8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B79BF"/>
    <w:multiLevelType w:val="hybridMultilevel"/>
    <w:tmpl w:val="C0200E3E"/>
    <w:lvl w:ilvl="0" w:tplc="31A051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E94D0B"/>
    <w:multiLevelType w:val="hybridMultilevel"/>
    <w:tmpl w:val="3FFAEC50"/>
    <w:lvl w:ilvl="0" w:tplc="2DF6C5F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26D5B06"/>
    <w:multiLevelType w:val="hybridMultilevel"/>
    <w:tmpl w:val="8A1CFC7C"/>
    <w:lvl w:ilvl="0" w:tplc="960E05DE">
      <w:start w:val="1"/>
      <w:numFmt w:val="bullet"/>
      <w:lvlText w:val="-"/>
      <w:lvlJc w:val="left"/>
      <w:pPr>
        <w:tabs>
          <w:tab w:val="num" w:pos="738"/>
        </w:tabs>
        <w:ind w:left="738" w:hanging="3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23762AD8"/>
    <w:multiLevelType w:val="hybridMultilevel"/>
    <w:tmpl w:val="6C94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170F9"/>
    <w:multiLevelType w:val="hybridMultilevel"/>
    <w:tmpl w:val="3D86BED4"/>
    <w:lvl w:ilvl="0" w:tplc="190C3CF0">
      <w:start w:val="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348D5"/>
    <w:multiLevelType w:val="hybridMultilevel"/>
    <w:tmpl w:val="DCD450DC"/>
    <w:lvl w:ilvl="0" w:tplc="E134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E44BA1"/>
    <w:multiLevelType w:val="hybridMultilevel"/>
    <w:tmpl w:val="86D88EA4"/>
    <w:lvl w:ilvl="0" w:tplc="314A66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FA529C"/>
    <w:multiLevelType w:val="multilevel"/>
    <w:tmpl w:val="D6AC0D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4">
    <w:nsid w:val="3E7144CC"/>
    <w:multiLevelType w:val="hybridMultilevel"/>
    <w:tmpl w:val="32BCA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D0993"/>
    <w:multiLevelType w:val="hybridMultilevel"/>
    <w:tmpl w:val="BB80BFBC"/>
    <w:lvl w:ilvl="0" w:tplc="F198FDE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D44A2"/>
    <w:multiLevelType w:val="hybridMultilevel"/>
    <w:tmpl w:val="90967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C6072"/>
    <w:multiLevelType w:val="hybridMultilevel"/>
    <w:tmpl w:val="8F66CCDE"/>
    <w:lvl w:ilvl="0" w:tplc="960E05DE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643AC"/>
    <w:multiLevelType w:val="hybridMultilevel"/>
    <w:tmpl w:val="CF30E298"/>
    <w:lvl w:ilvl="0" w:tplc="C18458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0638FF"/>
    <w:multiLevelType w:val="hybridMultilevel"/>
    <w:tmpl w:val="AB186046"/>
    <w:lvl w:ilvl="0" w:tplc="960E05DE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14670F"/>
    <w:multiLevelType w:val="hybridMultilevel"/>
    <w:tmpl w:val="7F7E65BA"/>
    <w:lvl w:ilvl="0" w:tplc="877868F8">
      <w:start w:val="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75319"/>
    <w:multiLevelType w:val="hybridMultilevel"/>
    <w:tmpl w:val="EBF6CB5A"/>
    <w:lvl w:ilvl="0" w:tplc="8C40E4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2C5868"/>
    <w:multiLevelType w:val="hybridMultilevel"/>
    <w:tmpl w:val="38B4A626"/>
    <w:lvl w:ilvl="0" w:tplc="EC80761A">
      <w:start w:val="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C02B4"/>
    <w:multiLevelType w:val="hybridMultilevel"/>
    <w:tmpl w:val="C9DEE270"/>
    <w:lvl w:ilvl="0" w:tplc="B0F097F2">
      <w:numFmt w:val="bullet"/>
      <w:lvlText w:val="-"/>
      <w:lvlJc w:val="left"/>
      <w:pPr>
        <w:ind w:left="720" w:hanging="360"/>
      </w:pPr>
      <w:rPr>
        <w:rFonts w:ascii="Ottawa" w:eastAsia="Times New Roman" w:hAnsi="Ottaw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45153"/>
    <w:multiLevelType w:val="hybridMultilevel"/>
    <w:tmpl w:val="A530ABFC"/>
    <w:lvl w:ilvl="0" w:tplc="BA2CBE6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45075"/>
    <w:multiLevelType w:val="hybridMultilevel"/>
    <w:tmpl w:val="420C1350"/>
    <w:lvl w:ilvl="0" w:tplc="D3C24D2E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115E9"/>
    <w:multiLevelType w:val="hybridMultilevel"/>
    <w:tmpl w:val="840EB188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50BA0"/>
    <w:multiLevelType w:val="hybridMultilevel"/>
    <w:tmpl w:val="7070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41546"/>
    <w:multiLevelType w:val="hybridMultilevel"/>
    <w:tmpl w:val="91F28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C60B12"/>
    <w:multiLevelType w:val="hybridMultilevel"/>
    <w:tmpl w:val="4E465E26"/>
    <w:lvl w:ilvl="0" w:tplc="2020CF88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556DD"/>
    <w:multiLevelType w:val="hybridMultilevel"/>
    <w:tmpl w:val="41D6FF70"/>
    <w:lvl w:ilvl="0" w:tplc="3B16048E">
      <w:start w:val="1"/>
      <w:numFmt w:val="decimal"/>
      <w:lvlText w:val="%1."/>
      <w:lvlJc w:val="left"/>
      <w:pPr>
        <w:ind w:left="109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7"/>
  </w:num>
  <w:num w:numId="5">
    <w:abstractNumId w:val="8"/>
  </w:num>
  <w:num w:numId="6">
    <w:abstractNumId w:val="19"/>
  </w:num>
  <w:num w:numId="7">
    <w:abstractNumId w:val="7"/>
  </w:num>
  <w:num w:numId="8">
    <w:abstractNumId w:val="16"/>
  </w:num>
  <w:num w:numId="9">
    <w:abstractNumId w:val="27"/>
  </w:num>
  <w:num w:numId="10">
    <w:abstractNumId w:val="6"/>
  </w:num>
  <w:num w:numId="11">
    <w:abstractNumId w:val="18"/>
  </w:num>
  <w:num w:numId="12">
    <w:abstractNumId w:val="28"/>
  </w:num>
  <w:num w:numId="13">
    <w:abstractNumId w:val="14"/>
  </w:num>
  <w:num w:numId="14">
    <w:abstractNumId w:val="21"/>
  </w:num>
  <w:num w:numId="15">
    <w:abstractNumId w:val="26"/>
  </w:num>
  <w:num w:numId="16">
    <w:abstractNumId w:val="13"/>
  </w:num>
  <w:num w:numId="17">
    <w:abstractNumId w:val="23"/>
  </w:num>
  <w:num w:numId="18">
    <w:abstractNumId w:val="30"/>
  </w:num>
  <w:num w:numId="19">
    <w:abstractNumId w:val="11"/>
  </w:num>
  <w:num w:numId="20">
    <w:abstractNumId w:val="12"/>
  </w:num>
  <w:num w:numId="21">
    <w:abstractNumId w:val="9"/>
  </w:num>
  <w:num w:numId="22">
    <w:abstractNumId w:val="3"/>
  </w:num>
  <w:num w:numId="23">
    <w:abstractNumId w:val="5"/>
  </w:num>
  <w:num w:numId="24">
    <w:abstractNumId w:val="15"/>
  </w:num>
  <w:num w:numId="25">
    <w:abstractNumId w:val="24"/>
  </w:num>
  <w:num w:numId="26">
    <w:abstractNumId w:val="25"/>
  </w:num>
  <w:num w:numId="27">
    <w:abstractNumId w:val="2"/>
  </w:num>
  <w:num w:numId="28">
    <w:abstractNumId w:val="29"/>
  </w:num>
  <w:num w:numId="29">
    <w:abstractNumId w:val="22"/>
  </w:num>
  <w:num w:numId="30">
    <w:abstractNumId w:val="1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78530"/>
  </w:hdrShapeDefaults>
  <w:footnotePr>
    <w:footnote w:id="-1"/>
    <w:footnote w:id="0"/>
  </w:footnotePr>
  <w:endnotePr>
    <w:endnote w:id="-1"/>
    <w:endnote w:id="0"/>
  </w:endnotePr>
  <w:compat/>
  <w:rsids>
    <w:rsidRoot w:val="00FF2232"/>
    <w:rsid w:val="00001DFD"/>
    <w:rsid w:val="00002F20"/>
    <w:rsid w:val="000034F9"/>
    <w:rsid w:val="00005992"/>
    <w:rsid w:val="00006E73"/>
    <w:rsid w:val="00007101"/>
    <w:rsid w:val="000075CA"/>
    <w:rsid w:val="00010BFC"/>
    <w:rsid w:val="00010D9E"/>
    <w:rsid w:val="00012E8F"/>
    <w:rsid w:val="000158AB"/>
    <w:rsid w:val="00016CF2"/>
    <w:rsid w:val="0001709A"/>
    <w:rsid w:val="00017213"/>
    <w:rsid w:val="00017CF1"/>
    <w:rsid w:val="000212F7"/>
    <w:rsid w:val="000216E3"/>
    <w:rsid w:val="00021A3B"/>
    <w:rsid w:val="000228AC"/>
    <w:rsid w:val="000248F2"/>
    <w:rsid w:val="00024B4A"/>
    <w:rsid w:val="0002759E"/>
    <w:rsid w:val="00027C2A"/>
    <w:rsid w:val="00030412"/>
    <w:rsid w:val="0003115C"/>
    <w:rsid w:val="00031ABA"/>
    <w:rsid w:val="000326E0"/>
    <w:rsid w:val="00034055"/>
    <w:rsid w:val="0003416A"/>
    <w:rsid w:val="0003417C"/>
    <w:rsid w:val="000342BE"/>
    <w:rsid w:val="000346F5"/>
    <w:rsid w:val="00034C96"/>
    <w:rsid w:val="000350BB"/>
    <w:rsid w:val="00035784"/>
    <w:rsid w:val="00041859"/>
    <w:rsid w:val="000426D4"/>
    <w:rsid w:val="00043284"/>
    <w:rsid w:val="000436DA"/>
    <w:rsid w:val="00043BD0"/>
    <w:rsid w:val="00043DB9"/>
    <w:rsid w:val="000453B6"/>
    <w:rsid w:val="00045B7E"/>
    <w:rsid w:val="0004656C"/>
    <w:rsid w:val="00047E06"/>
    <w:rsid w:val="000502D9"/>
    <w:rsid w:val="0005057F"/>
    <w:rsid w:val="000505F1"/>
    <w:rsid w:val="00053C4F"/>
    <w:rsid w:val="00054014"/>
    <w:rsid w:val="00054335"/>
    <w:rsid w:val="00054AB0"/>
    <w:rsid w:val="00055435"/>
    <w:rsid w:val="00061E02"/>
    <w:rsid w:val="000627D3"/>
    <w:rsid w:val="00064002"/>
    <w:rsid w:val="00064333"/>
    <w:rsid w:val="00066EA5"/>
    <w:rsid w:val="00070133"/>
    <w:rsid w:val="00070D4A"/>
    <w:rsid w:val="00070E29"/>
    <w:rsid w:val="00071485"/>
    <w:rsid w:val="00074135"/>
    <w:rsid w:val="00075E69"/>
    <w:rsid w:val="0007646A"/>
    <w:rsid w:val="000766F2"/>
    <w:rsid w:val="00077D9D"/>
    <w:rsid w:val="00080B87"/>
    <w:rsid w:val="00080F28"/>
    <w:rsid w:val="000822FE"/>
    <w:rsid w:val="00083DA0"/>
    <w:rsid w:val="0008479F"/>
    <w:rsid w:val="000848E2"/>
    <w:rsid w:val="00086067"/>
    <w:rsid w:val="00086225"/>
    <w:rsid w:val="00086C49"/>
    <w:rsid w:val="00087CF2"/>
    <w:rsid w:val="0009165E"/>
    <w:rsid w:val="00091E72"/>
    <w:rsid w:val="000967A1"/>
    <w:rsid w:val="0009749A"/>
    <w:rsid w:val="000A03E4"/>
    <w:rsid w:val="000A0E68"/>
    <w:rsid w:val="000A157B"/>
    <w:rsid w:val="000A297E"/>
    <w:rsid w:val="000A2984"/>
    <w:rsid w:val="000A2C9E"/>
    <w:rsid w:val="000A313A"/>
    <w:rsid w:val="000A3346"/>
    <w:rsid w:val="000A39A5"/>
    <w:rsid w:val="000A48FF"/>
    <w:rsid w:val="000A5158"/>
    <w:rsid w:val="000B0098"/>
    <w:rsid w:val="000B24E6"/>
    <w:rsid w:val="000B2646"/>
    <w:rsid w:val="000B3AB9"/>
    <w:rsid w:val="000B3DD3"/>
    <w:rsid w:val="000B519C"/>
    <w:rsid w:val="000B5DD2"/>
    <w:rsid w:val="000B6252"/>
    <w:rsid w:val="000B777B"/>
    <w:rsid w:val="000C0F02"/>
    <w:rsid w:val="000C1732"/>
    <w:rsid w:val="000C2340"/>
    <w:rsid w:val="000C290B"/>
    <w:rsid w:val="000C35BA"/>
    <w:rsid w:val="000C3717"/>
    <w:rsid w:val="000C45CA"/>
    <w:rsid w:val="000C4DB8"/>
    <w:rsid w:val="000C588B"/>
    <w:rsid w:val="000C71AD"/>
    <w:rsid w:val="000D0753"/>
    <w:rsid w:val="000D081D"/>
    <w:rsid w:val="000D1428"/>
    <w:rsid w:val="000D230E"/>
    <w:rsid w:val="000D338B"/>
    <w:rsid w:val="000D48C6"/>
    <w:rsid w:val="000D4C6E"/>
    <w:rsid w:val="000D56D2"/>
    <w:rsid w:val="000D69E6"/>
    <w:rsid w:val="000D70F8"/>
    <w:rsid w:val="000D7A35"/>
    <w:rsid w:val="000E02EF"/>
    <w:rsid w:val="000E059E"/>
    <w:rsid w:val="000E1C39"/>
    <w:rsid w:val="000E246E"/>
    <w:rsid w:val="000E29FB"/>
    <w:rsid w:val="000E2AA6"/>
    <w:rsid w:val="000E2C08"/>
    <w:rsid w:val="000E3843"/>
    <w:rsid w:val="000E3A2A"/>
    <w:rsid w:val="000E52B1"/>
    <w:rsid w:val="000E5BEC"/>
    <w:rsid w:val="000E60A6"/>
    <w:rsid w:val="000F0840"/>
    <w:rsid w:val="000F0AE1"/>
    <w:rsid w:val="000F1467"/>
    <w:rsid w:val="000F26F6"/>
    <w:rsid w:val="000F2971"/>
    <w:rsid w:val="000F3757"/>
    <w:rsid w:val="000F3A2E"/>
    <w:rsid w:val="000F45EF"/>
    <w:rsid w:val="000F491C"/>
    <w:rsid w:val="000F77F7"/>
    <w:rsid w:val="000F7969"/>
    <w:rsid w:val="000F7E0A"/>
    <w:rsid w:val="00100056"/>
    <w:rsid w:val="001010AE"/>
    <w:rsid w:val="00101743"/>
    <w:rsid w:val="00105AE2"/>
    <w:rsid w:val="00106117"/>
    <w:rsid w:val="001073A3"/>
    <w:rsid w:val="001100F5"/>
    <w:rsid w:val="00111011"/>
    <w:rsid w:val="00111158"/>
    <w:rsid w:val="001111F0"/>
    <w:rsid w:val="001118BD"/>
    <w:rsid w:val="00111B8A"/>
    <w:rsid w:val="00112C0A"/>
    <w:rsid w:val="00112D28"/>
    <w:rsid w:val="001138A8"/>
    <w:rsid w:val="00113E51"/>
    <w:rsid w:val="001150CC"/>
    <w:rsid w:val="00115269"/>
    <w:rsid w:val="00115BDE"/>
    <w:rsid w:val="00115E80"/>
    <w:rsid w:val="0011617F"/>
    <w:rsid w:val="001175A7"/>
    <w:rsid w:val="00117FD7"/>
    <w:rsid w:val="001203CC"/>
    <w:rsid w:val="00120571"/>
    <w:rsid w:val="001209C6"/>
    <w:rsid w:val="00121D6E"/>
    <w:rsid w:val="00122176"/>
    <w:rsid w:val="00122706"/>
    <w:rsid w:val="00122ED5"/>
    <w:rsid w:val="00125B09"/>
    <w:rsid w:val="00125FD0"/>
    <w:rsid w:val="00127114"/>
    <w:rsid w:val="001330EB"/>
    <w:rsid w:val="0013443C"/>
    <w:rsid w:val="00135A67"/>
    <w:rsid w:val="001365A4"/>
    <w:rsid w:val="0013725E"/>
    <w:rsid w:val="00137B58"/>
    <w:rsid w:val="0014031B"/>
    <w:rsid w:val="0014055A"/>
    <w:rsid w:val="00141870"/>
    <w:rsid w:val="00142700"/>
    <w:rsid w:val="001427E2"/>
    <w:rsid w:val="00142A5E"/>
    <w:rsid w:val="00143BF8"/>
    <w:rsid w:val="00143E33"/>
    <w:rsid w:val="0014454F"/>
    <w:rsid w:val="00145C71"/>
    <w:rsid w:val="00146B57"/>
    <w:rsid w:val="00147345"/>
    <w:rsid w:val="00147B1C"/>
    <w:rsid w:val="0015234F"/>
    <w:rsid w:val="00153DEA"/>
    <w:rsid w:val="00153DF9"/>
    <w:rsid w:val="00154556"/>
    <w:rsid w:val="001547C8"/>
    <w:rsid w:val="00154FBD"/>
    <w:rsid w:val="00155568"/>
    <w:rsid w:val="0015637C"/>
    <w:rsid w:val="001574C9"/>
    <w:rsid w:val="00160194"/>
    <w:rsid w:val="0016163F"/>
    <w:rsid w:val="0016270E"/>
    <w:rsid w:val="001633E1"/>
    <w:rsid w:val="00165B1A"/>
    <w:rsid w:val="00166D62"/>
    <w:rsid w:val="0017068B"/>
    <w:rsid w:val="00170B94"/>
    <w:rsid w:val="00170C4D"/>
    <w:rsid w:val="00170D7C"/>
    <w:rsid w:val="00171982"/>
    <w:rsid w:val="00171E25"/>
    <w:rsid w:val="00172657"/>
    <w:rsid w:val="00173BB0"/>
    <w:rsid w:val="001761C6"/>
    <w:rsid w:val="00176A1A"/>
    <w:rsid w:val="00176F4F"/>
    <w:rsid w:val="00181D0F"/>
    <w:rsid w:val="001829F6"/>
    <w:rsid w:val="00190685"/>
    <w:rsid w:val="001913B1"/>
    <w:rsid w:val="0019174A"/>
    <w:rsid w:val="00191E58"/>
    <w:rsid w:val="00192538"/>
    <w:rsid w:val="00192B75"/>
    <w:rsid w:val="00194C87"/>
    <w:rsid w:val="0019568C"/>
    <w:rsid w:val="001975C4"/>
    <w:rsid w:val="001A02AA"/>
    <w:rsid w:val="001A1359"/>
    <w:rsid w:val="001A3933"/>
    <w:rsid w:val="001A4A13"/>
    <w:rsid w:val="001A4A6A"/>
    <w:rsid w:val="001A54E2"/>
    <w:rsid w:val="001A717A"/>
    <w:rsid w:val="001A7C20"/>
    <w:rsid w:val="001A7FEB"/>
    <w:rsid w:val="001B121E"/>
    <w:rsid w:val="001B3E99"/>
    <w:rsid w:val="001B4168"/>
    <w:rsid w:val="001B4AE1"/>
    <w:rsid w:val="001B5BAC"/>
    <w:rsid w:val="001B79B9"/>
    <w:rsid w:val="001B7A5C"/>
    <w:rsid w:val="001C2150"/>
    <w:rsid w:val="001C237A"/>
    <w:rsid w:val="001C2F5F"/>
    <w:rsid w:val="001C51D4"/>
    <w:rsid w:val="001C619D"/>
    <w:rsid w:val="001C7406"/>
    <w:rsid w:val="001D02E4"/>
    <w:rsid w:val="001D06E3"/>
    <w:rsid w:val="001D0FCB"/>
    <w:rsid w:val="001D1010"/>
    <w:rsid w:val="001D16F6"/>
    <w:rsid w:val="001D181E"/>
    <w:rsid w:val="001D1A81"/>
    <w:rsid w:val="001D2789"/>
    <w:rsid w:val="001D3A98"/>
    <w:rsid w:val="001D4CE1"/>
    <w:rsid w:val="001D6FE0"/>
    <w:rsid w:val="001D7352"/>
    <w:rsid w:val="001D7C67"/>
    <w:rsid w:val="001E1789"/>
    <w:rsid w:val="001E2A2B"/>
    <w:rsid w:val="001E3500"/>
    <w:rsid w:val="001E418B"/>
    <w:rsid w:val="001E47A5"/>
    <w:rsid w:val="001E5A96"/>
    <w:rsid w:val="001E6FCF"/>
    <w:rsid w:val="001E71D3"/>
    <w:rsid w:val="001F32F8"/>
    <w:rsid w:val="001F3945"/>
    <w:rsid w:val="001F43DD"/>
    <w:rsid w:val="001F5202"/>
    <w:rsid w:val="001F5DA5"/>
    <w:rsid w:val="001F612A"/>
    <w:rsid w:val="001F6D78"/>
    <w:rsid w:val="001F71F2"/>
    <w:rsid w:val="00200654"/>
    <w:rsid w:val="00200732"/>
    <w:rsid w:val="002024B4"/>
    <w:rsid w:val="00202925"/>
    <w:rsid w:val="00202E70"/>
    <w:rsid w:val="00204998"/>
    <w:rsid w:val="00205316"/>
    <w:rsid w:val="00205DCE"/>
    <w:rsid w:val="00205FBB"/>
    <w:rsid w:val="00206285"/>
    <w:rsid w:val="00207211"/>
    <w:rsid w:val="00207AFA"/>
    <w:rsid w:val="00212021"/>
    <w:rsid w:val="0021273B"/>
    <w:rsid w:val="00213B17"/>
    <w:rsid w:val="00213C22"/>
    <w:rsid w:val="002144DB"/>
    <w:rsid w:val="002146CE"/>
    <w:rsid w:val="00214858"/>
    <w:rsid w:val="002152D3"/>
    <w:rsid w:val="00216111"/>
    <w:rsid w:val="00217EE9"/>
    <w:rsid w:val="002213D4"/>
    <w:rsid w:val="00221453"/>
    <w:rsid w:val="00221C68"/>
    <w:rsid w:val="00221D41"/>
    <w:rsid w:val="00221EC9"/>
    <w:rsid w:val="0022321A"/>
    <w:rsid w:val="00223B2E"/>
    <w:rsid w:val="00223B59"/>
    <w:rsid w:val="00225AD7"/>
    <w:rsid w:val="00226872"/>
    <w:rsid w:val="002300F1"/>
    <w:rsid w:val="00230432"/>
    <w:rsid w:val="00230A24"/>
    <w:rsid w:val="00230D89"/>
    <w:rsid w:val="002318B0"/>
    <w:rsid w:val="0023194B"/>
    <w:rsid w:val="00231E26"/>
    <w:rsid w:val="002325A2"/>
    <w:rsid w:val="00232F5C"/>
    <w:rsid w:val="0023339A"/>
    <w:rsid w:val="0023506D"/>
    <w:rsid w:val="002374AF"/>
    <w:rsid w:val="002374B2"/>
    <w:rsid w:val="00237921"/>
    <w:rsid w:val="00237EB1"/>
    <w:rsid w:val="00237F59"/>
    <w:rsid w:val="00240C9F"/>
    <w:rsid w:val="00240F6B"/>
    <w:rsid w:val="0024118E"/>
    <w:rsid w:val="0024332A"/>
    <w:rsid w:val="00244A18"/>
    <w:rsid w:val="002470B9"/>
    <w:rsid w:val="00247FFC"/>
    <w:rsid w:val="0025021B"/>
    <w:rsid w:val="0025068B"/>
    <w:rsid w:val="00250F94"/>
    <w:rsid w:val="00251409"/>
    <w:rsid w:val="002519DA"/>
    <w:rsid w:val="00252137"/>
    <w:rsid w:val="002532B7"/>
    <w:rsid w:val="00253890"/>
    <w:rsid w:val="00253FE2"/>
    <w:rsid w:val="002541D8"/>
    <w:rsid w:val="00254517"/>
    <w:rsid w:val="00255ED6"/>
    <w:rsid w:val="002560B3"/>
    <w:rsid w:val="00256A59"/>
    <w:rsid w:val="00256EBB"/>
    <w:rsid w:val="002576EF"/>
    <w:rsid w:val="00262AEA"/>
    <w:rsid w:val="00263002"/>
    <w:rsid w:val="0026389C"/>
    <w:rsid w:val="0026684F"/>
    <w:rsid w:val="0026688E"/>
    <w:rsid w:val="002677C9"/>
    <w:rsid w:val="0027290C"/>
    <w:rsid w:val="00272981"/>
    <w:rsid w:val="00273415"/>
    <w:rsid w:val="0027356C"/>
    <w:rsid w:val="00273D99"/>
    <w:rsid w:val="0027485D"/>
    <w:rsid w:val="002758E7"/>
    <w:rsid w:val="00276159"/>
    <w:rsid w:val="00276438"/>
    <w:rsid w:val="00276A0B"/>
    <w:rsid w:val="002774FB"/>
    <w:rsid w:val="002821DA"/>
    <w:rsid w:val="00282C3E"/>
    <w:rsid w:val="002830EF"/>
    <w:rsid w:val="00283465"/>
    <w:rsid w:val="00284E20"/>
    <w:rsid w:val="002853E9"/>
    <w:rsid w:val="00285722"/>
    <w:rsid w:val="00285CAA"/>
    <w:rsid w:val="00285FAD"/>
    <w:rsid w:val="00286FF6"/>
    <w:rsid w:val="00287067"/>
    <w:rsid w:val="0029126C"/>
    <w:rsid w:val="00294622"/>
    <w:rsid w:val="002971CE"/>
    <w:rsid w:val="00297BDB"/>
    <w:rsid w:val="00297D22"/>
    <w:rsid w:val="00297E2B"/>
    <w:rsid w:val="00297EE6"/>
    <w:rsid w:val="002A0031"/>
    <w:rsid w:val="002A063A"/>
    <w:rsid w:val="002A2C5F"/>
    <w:rsid w:val="002A3168"/>
    <w:rsid w:val="002A3413"/>
    <w:rsid w:val="002A360D"/>
    <w:rsid w:val="002A44E5"/>
    <w:rsid w:val="002A482A"/>
    <w:rsid w:val="002A4F4D"/>
    <w:rsid w:val="002A5C32"/>
    <w:rsid w:val="002A70F1"/>
    <w:rsid w:val="002A7304"/>
    <w:rsid w:val="002A78CC"/>
    <w:rsid w:val="002A7B78"/>
    <w:rsid w:val="002B1BA6"/>
    <w:rsid w:val="002B285B"/>
    <w:rsid w:val="002B3320"/>
    <w:rsid w:val="002B5788"/>
    <w:rsid w:val="002B5A57"/>
    <w:rsid w:val="002B5BE7"/>
    <w:rsid w:val="002B6B34"/>
    <w:rsid w:val="002B6FE2"/>
    <w:rsid w:val="002C0389"/>
    <w:rsid w:val="002C13FA"/>
    <w:rsid w:val="002C16B2"/>
    <w:rsid w:val="002C2B44"/>
    <w:rsid w:val="002C39F4"/>
    <w:rsid w:val="002C42D9"/>
    <w:rsid w:val="002C7267"/>
    <w:rsid w:val="002C7837"/>
    <w:rsid w:val="002D10E8"/>
    <w:rsid w:val="002D20D4"/>
    <w:rsid w:val="002D37E7"/>
    <w:rsid w:val="002D4A14"/>
    <w:rsid w:val="002D5212"/>
    <w:rsid w:val="002D6200"/>
    <w:rsid w:val="002D6A88"/>
    <w:rsid w:val="002D7177"/>
    <w:rsid w:val="002D784A"/>
    <w:rsid w:val="002E07BA"/>
    <w:rsid w:val="002E096B"/>
    <w:rsid w:val="002E1E5A"/>
    <w:rsid w:val="002E2CF2"/>
    <w:rsid w:val="002E358E"/>
    <w:rsid w:val="002E3760"/>
    <w:rsid w:val="002E3D2F"/>
    <w:rsid w:val="002E4317"/>
    <w:rsid w:val="002E6479"/>
    <w:rsid w:val="002F0173"/>
    <w:rsid w:val="002F0DA2"/>
    <w:rsid w:val="002F20BA"/>
    <w:rsid w:val="002F3F26"/>
    <w:rsid w:val="002F424F"/>
    <w:rsid w:val="002F4304"/>
    <w:rsid w:val="002F4879"/>
    <w:rsid w:val="002F5276"/>
    <w:rsid w:val="002F60B7"/>
    <w:rsid w:val="002F6AF8"/>
    <w:rsid w:val="002F75C1"/>
    <w:rsid w:val="002F7C46"/>
    <w:rsid w:val="002F7EC4"/>
    <w:rsid w:val="0030039E"/>
    <w:rsid w:val="00300C1A"/>
    <w:rsid w:val="00301370"/>
    <w:rsid w:val="00302F7B"/>
    <w:rsid w:val="0030392C"/>
    <w:rsid w:val="00303F43"/>
    <w:rsid w:val="0030468B"/>
    <w:rsid w:val="003048F0"/>
    <w:rsid w:val="00304B5D"/>
    <w:rsid w:val="003051F7"/>
    <w:rsid w:val="00307140"/>
    <w:rsid w:val="00310DCF"/>
    <w:rsid w:val="0031159D"/>
    <w:rsid w:val="00311BD8"/>
    <w:rsid w:val="00312799"/>
    <w:rsid w:val="00314ABE"/>
    <w:rsid w:val="00314F28"/>
    <w:rsid w:val="0031696B"/>
    <w:rsid w:val="00320293"/>
    <w:rsid w:val="003202B1"/>
    <w:rsid w:val="00321108"/>
    <w:rsid w:val="00321422"/>
    <w:rsid w:val="00321F0D"/>
    <w:rsid w:val="00327B9E"/>
    <w:rsid w:val="00330B05"/>
    <w:rsid w:val="00330D52"/>
    <w:rsid w:val="003318FC"/>
    <w:rsid w:val="00331CF5"/>
    <w:rsid w:val="00331D6D"/>
    <w:rsid w:val="00332260"/>
    <w:rsid w:val="00332C9D"/>
    <w:rsid w:val="00333DF1"/>
    <w:rsid w:val="0033438F"/>
    <w:rsid w:val="003349E6"/>
    <w:rsid w:val="00335323"/>
    <w:rsid w:val="003364CE"/>
    <w:rsid w:val="00343283"/>
    <w:rsid w:val="00343773"/>
    <w:rsid w:val="00346234"/>
    <w:rsid w:val="00346ADC"/>
    <w:rsid w:val="00346C35"/>
    <w:rsid w:val="00350887"/>
    <w:rsid w:val="00350C2C"/>
    <w:rsid w:val="00350D1D"/>
    <w:rsid w:val="003510C4"/>
    <w:rsid w:val="00351AD5"/>
    <w:rsid w:val="00351F5A"/>
    <w:rsid w:val="00352EE8"/>
    <w:rsid w:val="00353A17"/>
    <w:rsid w:val="0035475F"/>
    <w:rsid w:val="00354B52"/>
    <w:rsid w:val="00355657"/>
    <w:rsid w:val="00355E2E"/>
    <w:rsid w:val="0035770B"/>
    <w:rsid w:val="00361000"/>
    <w:rsid w:val="0036184F"/>
    <w:rsid w:val="00361C9C"/>
    <w:rsid w:val="00362107"/>
    <w:rsid w:val="00362E6C"/>
    <w:rsid w:val="00363253"/>
    <w:rsid w:val="00363C8E"/>
    <w:rsid w:val="00363E3F"/>
    <w:rsid w:val="00365037"/>
    <w:rsid w:val="00365978"/>
    <w:rsid w:val="003715AB"/>
    <w:rsid w:val="0037266E"/>
    <w:rsid w:val="00372EBC"/>
    <w:rsid w:val="003734B7"/>
    <w:rsid w:val="00374139"/>
    <w:rsid w:val="00374BFC"/>
    <w:rsid w:val="00375AA3"/>
    <w:rsid w:val="00375D7C"/>
    <w:rsid w:val="003771EB"/>
    <w:rsid w:val="00377CEA"/>
    <w:rsid w:val="0038010D"/>
    <w:rsid w:val="00380922"/>
    <w:rsid w:val="00383453"/>
    <w:rsid w:val="00383FBB"/>
    <w:rsid w:val="00383FC0"/>
    <w:rsid w:val="00384D2B"/>
    <w:rsid w:val="0038546D"/>
    <w:rsid w:val="003854AC"/>
    <w:rsid w:val="00386609"/>
    <w:rsid w:val="00386BEE"/>
    <w:rsid w:val="00387B30"/>
    <w:rsid w:val="00387C1B"/>
    <w:rsid w:val="00390A06"/>
    <w:rsid w:val="003937CD"/>
    <w:rsid w:val="003942D0"/>
    <w:rsid w:val="0039466E"/>
    <w:rsid w:val="003956B1"/>
    <w:rsid w:val="00395875"/>
    <w:rsid w:val="00395A01"/>
    <w:rsid w:val="00396E01"/>
    <w:rsid w:val="003973AC"/>
    <w:rsid w:val="00397800"/>
    <w:rsid w:val="00397A84"/>
    <w:rsid w:val="00397A85"/>
    <w:rsid w:val="003A0E6E"/>
    <w:rsid w:val="003A1689"/>
    <w:rsid w:val="003A1C56"/>
    <w:rsid w:val="003A236C"/>
    <w:rsid w:val="003A246E"/>
    <w:rsid w:val="003A5065"/>
    <w:rsid w:val="003A57FD"/>
    <w:rsid w:val="003A6CFE"/>
    <w:rsid w:val="003A71C3"/>
    <w:rsid w:val="003B139F"/>
    <w:rsid w:val="003B1BBF"/>
    <w:rsid w:val="003B3841"/>
    <w:rsid w:val="003B41FF"/>
    <w:rsid w:val="003B4BE1"/>
    <w:rsid w:val="003B4F66"/>
    <w:rsid w:val="003B5125"/>
    <w:rsid w:val="003B5A7D"/>
    <w:rsid w:val="003B6B6C"/>
    <w:rsid w:val="003B7477"/>
    <w:rsid w:val="003C1673"/>
    <w:rsid w:val="003C2933"/>
    <w:rsid w:val="003C2975"/>
    <w:rsid w:val="003C3713"/>
    <w:rsid w:val="003C39B9"/>
    <w:rsid w:val="003C4E6E"/>
    <w:rsid w:val="003C5E65"/>
    <w:rsid w:val="003C696C"/>
    <w:rsid w:val="003C7ACB"/>
    <w:rsid w:val="003C7BF6"/>
    <w:rsid w:val="003C7CE7"/>
    <w:rsid w:val="003D052A"/>
    <w:rsid w:val="003D0F90"/>
    <w:rsid w:val="003D16CC"/>
    <w:rsid w:val="003D1918"/>
    <w:rsid w:val="003D21A9"/>
    <w:rsid w:val="003D2315"/>
    <w:rsid w:val="003D285F"/>
    <w:rsid w:val="003D30F3"/>
    <w:rsid w:val="003D465A"/>
    <w:rsid w:val="003D47CE"/>
    <w:rsid w:val="003D4CED"/>
    <w:rsid w:val="003D5789"/>
    <w:rsid w:val="003D635C"/>
    <w:rsid w:val="003D657F"/>
    <w:rsid w:val="003D668F"/>
    <w:rsid w:val="003D747D"/>
    <w:rsid w:val="003E064A"/>
    <w:rsid w:val="003E0E50"/>
    <w:rsid w:val="003E2477"/>
    <w:rsid w:val="003E47FC"/>
    <w:rsid w:val="003E61DE"/>
    <w:rsid w:val="003E717B"/>
    <w:rsid w:val="003F0811"/>
    <w:rsid w:val="003F0C62"/>
    <w:rsid w:val="003F1FD7"/>
    <w:rsid w:val="003F3EF2"/>
    <w:rsid w:val="003F4AB2"/>
    <w:rsid w:val="003F4B75"/>
    <w:rsid w:val="003F6C9A"/>
    <w:rsid w:val="00400F0F"/>
    <w:rsid w:val="00402FDA"/>
    <w:rsid w:val="00403033"/>
    <w:rsid w:val="004070AD"/>
    <w:rsid w:val="00407BB2"/>
    <w:rsid w:val="00407E3B"/>
    <w:rsid w:val="004101D7"/>
    <w:rsid w:val="0041185C"/>
    <w:rsid w:val="0041210B"/>
    <w:rsid w:val="0041296A"/>
    <w:rsid w:val="00413887"/>
    <w:rsid w:val="00413C19"/>
    <w:rsid w:val="00416C6E"/>
    <w:rsid w:val="004177EC"/>
    <w:rsid w:val="00420205"/>
    <w:rsid w:val="0042121D"/>
    <w:rsid w:val="0042128C"/>
    <w:rsid w:val="00422820"/>
    <w:rsid w:val="00422D00"/>
    <w:rsid w:val="0042613E"/>
    <w:rsid w:val="00431DE2"/>
    <w:rsid w:val="00431EB9"/>
    <w:rsid w:val="004321C3"/>
    <w:rsid w:val="00432258"/>
    <w:rsid w:val="00432592"/>
    <w:rsid w:val="004348D6"/>
    <w:rsid w:val="00434B28"/>
    <w:rsid w:val="00434E9B"/>
    <w:rsid w:val="00435EAD"/>
    <w:rsid w:val="00437011"/>
    <w:rsid w:val="004370AE"/>
    <w:rsid w:val="004372DB"/>
    <w:rsid w:val="004375B8"/>
    <w:rsid w:val="00442145"/>
    <w:rsid w:val="00442B35"/>
    <w:rsid w:val="004460D1"/>
    <w:rsid w:val="00446F4F"/>
    <w:rsid w:val="004471EB"/>
    <w:rsid w:val="00452971"/>
    <w:rsid w:val="004531F7"/>
    <w:rsid w:val="00453CD1"/>
    <w:rsid w:val="0045528A"/>
    <w:rsid w:val="004563B5"/>
    <w:rsid w:val="004566F4"/>
    <w:rsid w:val="004607B5"/>
    <w:rsid w:val="00462D8C"/>
    <w:rsid w:val="00463784"/>
    <w:rsid w:val="00464408"/>
    <w:rsid w:val="004668C7"/>
    <w:rsid w:val="00466913"/>
    <w:rsid w:val="00467D5A"/>
    <w:rsid w:val="0047023E"/>
    <w:rsid w:val="00470FA6"/>
    <w:rsid w:val="00471803"/>
    <w:rsid w:val="004732EF"/>
    <w:rsid w:val="00474415"/>
    <w:rsid w:val="00475408"/>
    <w:rsid w:val="0047586B"/>
    <w:rsid w:val="00475A21"/>
    <w:rsid w:val="00480023"/>
    <w:rsid w:val="004806DF"/>
    <w:rsid w:val="004818F5"/>
    <w:rsid w:val="0048267E"/>
    <w:rsid w:val="00483850"/>
    <w:rsid w:val="0048394C"/>
    <w:rsid w:val="00484777"/>
    <w:rsid w:val="00484A0F"/>
    <w:rsid w:val="00485C22"/>
    <w:rsid w:val="00485EAC"/>
    <w:rsid w:val="004873E8"/>
    <w:rsid w:val="00487592"/>
    <w:rsid w:val="00490298"/>
    <w:rsid w:val="00491075"/>
    <w:rsid w:val="0049255A"/>
    <w:rsid w:val="00492A87"/>
    <w:rsid w:val="00493195"/>
    <w:rsid w:val="004952E7"/>
    <w:rsid w:val="004957BE"/>
    <w:rsid w:val="0049603C"/>
    <w:rsid w:val="00497D8D"/>
    <w:rsid w:val="004A0B32"/>
    <w:rsid w:val="004A14B1"/>
    <w:rsid w:val="004A169A"/>
    <w:rsid w:val="004A1F44"/>
    <w:rsid w:val="004A2C0B"/>
    <w:rsid w:val="004A2C11"/>
    <w:rsid w:val="004A315C"/>
    <w:rsid w:val="004A3DFE"/>
    <w:rsid w:val="004A70C8"/>
    <w:rsid w:val="004A7333"/>
    <w:rsid w:val="004B1075"/>
    <w:rsid w:val="004B1577"/>
    <w:rsid w:val="004B1F49"/>
    <w:rsid w:val="004B3D13"/>
    <w:rsid w:val="004B3D43"/>
    <w:rsid w:val="004B4CA0"/>
    <w:rsid w:val="004B5477"/>
    <w:rsid w:val="004B58DD"/>
    <w:rsid w:val="004B7BCB"/>
    <w:rsid w:val="004C0392"/>
    <w:rsid w:val="004C12A5"/>
    <w:rsid w:val="004C1DCC"/>
    <w:rsid w:val="004C2209"/>
    <w:rsid w:val="004C52C7"/>
    <w:rsid w:val="004C5807"/>
    <w:rsid w:val="004C5A48"/>
    <w:rsid w:val="004C5F5A"/>
    <w:rsid w:val="004C7A7B"/>
    <w:rsid w:val="004D0381"/>
    <w:rsid w:val="004D0D47"/>
    <w:rsid w:val="004D3E06"/>
    <w:rsid w:val="004D4229"/>
    <w:rsid w:val="004D49B0"/>
    <w:rsid w:val="004D4DDB"/>
    <w:rsid w:val="004D5C96"/>
    <w:rsid w:val="004D5CE6"/>
    <w:rsid w:val="004D6696"/>
    <w:rsid w:val="004D7C9B"/>
    <w:rsid w:val="004D7CA8"/>
    <w:rsid w:val="004E1227"/>
    <w:rsid w:val="004E3C19"/>
    <w:rsid w:val="004E3F37"/>
    <w:rsid w:val="004E42A2"/>
    <w:rsid w:val="004E6963"/>
    <w:rsid w:val="004E6D1E"/>
    <w:rsid w:val="004E7596"/>
    <w:rsid w:val="004E78BD"/>
    <w:rsid w:val="004F0A57"/>
    <w:rsid w:val="004F0BB4"/>
    <w:rsid w:val="004F0DD8"/>
    <w:rsid w:val="004F0DFC"/>
    <w:rsid w:val="004F1BA1"/>
    <w:rsid w:val="004F1D18"/>
    <w:rsid w:val="004F2BBF"/>
    <w:rsid w:val="004F3801"/>
    <w:rsid w:val="004F4061"/>
    <w:rsid w:val="004F6877"/>
    <w:rsid w:val="00500392"/>
    <w:rsid w:val="00501614"/>
    <w:rsid w:val="00502142"/>
    <w:rsid w:val="00504DE3"/>
    <w:rsid w:val="00505E56"/>
    <w:rsid w:val="005070C5"/>
    <w:rsid w:val="005073C4"/>
    <w:rsid w:val="0050754D"/>
    <w:rsid w:val="005078F0"/>
    <w:rsid w:val="00507AD4"/>
    <w:rsid w:val="005105A2"/>
    <w:rsid w:val="00511019"/>
    <w:rsid w:val="0051189A"/>
    <w:rsid w:val="00511F21"/>
    <w:rsid w:val="005125FA"/>
    <w:rsid w:val="0051282C"/>
    <w:rsid w:val="00512FA2"/>
    <w:rsid w:val="00513426"/>
    <w:rsid w:val="00515081"/>
    <w:rsid w:val="00515190"/>
    <w:rsid w:val="00515631"/>
    <w:rsid w:val="00516DA8"/>
    <w:rsid w:val="00517AEE"/>
    <w:rsid w:val="00520208"/>
    <w:rsid w:val="00520662"/>
    <w:rsid w:val="00520C5F"/>
    <w:rsid w:val="005213BE"/>
    <w:rsid w:val="00521F25"/>
    <w:rsid w:val="005224CE"/>
    <w:rsid w:val="00522C2D"/>
    <w:rsid w:val="00523CEB"/>
    <w:rsid w:val="00523D3D"/>
    <w:rsid w:val="005241F1"/>
    <w:rsid w:val="00524B52"/>
    <w:rsid w:val="00524F01"/>
    <w:rsid w:val="00524F36"/>
    <w:rsid w:val="00525724"/>
    <w:rsid w:val="005267B7"/>
    <w:rsid w:val="005331E3"/>
    <w:rsid w:val="00533F56"/>
    <w:rsid w:val="00537206"/>
    <w:rsid w:val="0053742A"/>
    <w:rsid w:val="00537F25"/>
    <w:rsid w:val="0054053C"/>
    <w:rsid w:val="0054127C"/>
    <w:rsid w:val="005420DE"/>
    <w:rsid w:val="00542312"/>
    <w:rsid w:val="00542A8B"/>
    <w:rsid w:val="0054339E"/>
    <w:rsid w:val="00543588"/>
    <w:rsid w:val="00543F15"/>
    <w:rsid w:val="00544845"/>
    <w:rsid w:val="00544E62"/>
    <w:rsid w:val="00545E29"/>
    <w:rsid w:val="00551529"/>
    <w:rsid w:val="00551CF9"/>
    <w:rsid w:val="00551EB7"/>
    <w:rsid w:val="00552D07"/>
    <w:rsid w:val="00553599"/>
    <w:rsid w:val="00553906"/>
    <w:rsid w:val="00553B93"/>
    <w:rsid w:val="00553ED0"/>
    <w:rsid w:val="005550B6"/>
    <w:rsid w:val="005550BA"/>
    <w:rsid w:val="00555713"/>
    <w:rsid w:val="0055652B"/>
    <w:rsid w:val="00557E66"/>
    <w:rsid w:val="0056213E"/>
    <w:rsid w:val="00562EF6"/>
    <w:rsid w:val="00562F58"/>
    <w:rsid w:val="00563290"/>
    <w:rsid w:val="005633AA"/>
    <w:rsid w:val="005637C4"/>
    <w:rsid w:val="0056383A"/>
    <w:rsid w:val="005645F1"/>
    <w:rsid w:val="00566638"/>
    <w:rsid w:val="00566F24"/>
    <w:rsid w:val="0056736D"/>
    <w:rsid w:val="00567B51"/>
    <w:rsid w:val="0057003C"/>
    <w:rsid w:val="005700BD"/>
    <w:rsid w:val="005710ED"/>
    <w:rsid w:val="00571DA2"/>
    <w:rsid w:val="00573432"/>
    <w:rsid w:val="0057492C"/>
    <w:rsid w:val="00575950"/>
    <w:rsid w:val="0057597A"/>
    <w:rsid w:val="00576F4E"/>
    <w:rsid w:val="00577260"/>
    <w:rsid w:val="00577A2A"/>
    <w:rsid w:val="00580302"/>
    <w:rsid w:val="00580756"/>
    <w:rsid w:val="00580994"/>
    <w:rsid w:val="00580BDD"/>
    <w:rsid w:val="0058358D"/>
    <w:rsid w:val="00583CC8"/>
    <w:rsid w:val="005846A0"/>
    <w:rsid w:val="00596810"/>
    <w:rsid w:val="00596873"/>
    <w:rsid w:val="005A0164"/>
    <w:rsid w:val="005A18F0"/>
    <w:rsid w:val="005A1D14"/>
    <w:rsid w:val="005A216E"/>
    <w:rsid w:val="005A4009"/>
    <w:rsid w:val="005A4556"/>
    <w:rsid w:val="005A4EAA"/>
    <w:rsid w:val="005A5B74"/>
    <w:rsid w:val="005A72DD"/>
    <w:rsid w:val="005A7650"/>
    <w:rsid w:val="005B063C"/>
    <w:rsid w:val="005B17B6"/>
    <w:rsid w:val="005B1AA4"/>
    <w:rsid w:val="005B3D7E"/>
    <w:rsid w:val="005B3FAC"/>
    <w:rsid w:val="005B5F37"/>
    <w:rsid w:val="005B61EC"/>
    <w:rsid w:val="005C07F5"/>
    <w:rsid w:val="005C1B5D"/>
    <w:rsid w:val="005C4304"/>
    <w:rsid w:val="005C5C42"/>
    <w:rsid w:val="005C69F4"/>
    <w:rsid w:val="005D0C2D"/>
    <w:rsid w:val="005D0F6A"/>
    <w:rsid w:val="005D12EC"/>
    <w:rsid w:val="005D16C0"/>
    <w:rsid w:val="005D1C75"/>
    <w:rsid w:val="005D21D8"/>
    <w:rsid w:val="005D2435"/>
    <w:rsid w:val="005D427A"/>
    <w:rsid w:val="005D48D6"/>
    <w:rsid w:val="005D4C8E"/>
    <w:rsid w:val="005D5D14"/>
    <w:rsid w:val="005D5EAD"/>
    <w:rsid w:val="005D6855"/>
    <w:rsid w:val="005D7743"/>
    <w:rsid w:val="005E0808"/>
    <w:rsid w:val="005E2B65"/>
    <w:rsid w:val="005E2EA6"/>
    <w:rsid w:val="005E3473"/>
    <w:rsid w:val="005E39CA"/>
    <w:rsid w:val="005E4712"/>
    <w:rsid w:val="005E4A72"/>
    <w:rsid w:val="005E5D8A"/>
    <w:rsid w:val="005E615D"/>
    <w:rsid w:val="005F171F"/>
    <w:rsid w:val="005F2E8D"/>
    <w:rsid w:val="005F360C"/>
    <w:rsid w:val="005F47FF"/>
    <w:rsid w:val="005F608A"/>
    <w:rsid w:val="005F6ECD"/>
    <w:rsid w:val="005F7C39"/>
    <w:rsid w:val="005F7DF8"/>
    <w:rsid w:val="00600F05"/>
    <w:rsid w:val="00604824"/>
    <w:rsid w:val="006057C1"/>
    <w:rsid w:val="006077B6"/>
    <w:rsid w:val="00610A00"/>
    <w:rsid w:val="00611221"/>
    <w:rsid w:val="00611756"/>
    <w:rsid w:val="006117CC"/>
    <w:rsid w:val="00612F04"/>
    <w:rsid w:val="0061540D"/>
    <w:rsid w:val="00616B07"/>
    <w:rsid w:val="00616E93"/>
    <w:rsid w:val="00620F47"/>
    <w:rsid w:val="00621DD2"/>
    <w:rsid w:val="00623DCF"/>
    <w:rsid w:val="00627671"/>
    <w:rsid w:val="0062778E"/>
    <w:rsid w:val="00631103"/>
    <w:rsid w:val="006314E0"/>
    <w:rsid w:val="00631765"/>
    <w:rsid w:val="0063206A"/>
    <w:rsid w:val="006330AA"/>
    <w:rsid w:val="00634928"/>
    <w:rsid w:val="00634B2D"/>
    <w:rsid w:val="0063544C"/>
    <w:rsid w:val="006354FE"/>
    <w:rsid w:val="00635D7C"/>
    <w:rsid w:val="00636494"/>
    <w:rsid w:val="006408D6"/>
    <w:rsid w:val="00640F72"/>
    <w:rsid w:val="00641672"/>
    <w:rsid w:val="006417D5"/>
    <w:rsid w:val="0064184F"/>
    <w:rsid w:val="00642E77"/>
    <w:rsid w:val="00643630"/>
    <w:rsid w:val="0064395C"/>
    <w:rsid w:val="00644891"/>
    <w:rsid w:val="00645222"/>
    <w:rsid w:val="00645235"/>
    <w:rsid w:val="0064546F"/>
    <w:rsid w:val="006459A4"/>
    <w:rsid w:val="0064619F"/>
    <w:rsid w:val="006510AE"/>
    <w:rsid w:val="00652046"/>
    <w:rsid w:val="0065216A"/>
    <w:rsid w:val="00654D86"/>
    <w:rsid w:val="00657904"/>
    <w:rsid w:val="006617E7"/>
    <w:rsid w:val="00662167"/>
    <w:rsid w:val="00662F43"/>
    <w:rsid w:val="006632A1"/>
    <w:rsid w:val="006637AD"/>
    <w:rsid w:val="006675DA"/>
    <w:rsid w:val="006678C5"/>
    <w:rsid w:val="00667F45"/>
    <w:rsid w:val="00671067"/>
    <w:rsid w:val="006711DC"/>
    <w:rsid w:val="00671401"/>
    <w:rsid w:val="0067190E"/>
    <w:rsid w:val="00671D02"/>
    <w:rsid w:val="006720F4"/>
    <w:rsid w:val="006746C0"/>
    <w:rsid w:val="00675A45"/>
    <w:rsid w:val="00676A76"/>
    <w:rsid w:val="00676D33"/>
    <w:rsid w:val="00680DB3"/>
    <w:rsid w:val="006820E0"/>
    <w:rsid w:val="0068497A"/>
    <w:rsid w:val="006850A5"/>
    <w:rsid w:val="00686565"/>
    <w:rsid w:val="00687D14"/>
    <w:rsid w:val="00690485"/>
    <w:rsid w:val="00690BB7"/>
    <w:rsid w:val="00690CF6"/>
    <w:rsid w:val="006930DF"/>
    <w:rsid w:val="00693F50"/>
    <w:rsid w:val="006941DF"/>
    <w:rsid w:val="00695C7D"/>
    <w:rsid w:val="00695D2D"/>
    <w:rsid w:val="00695E19"/>
    <w:rsid w:val="006970EE"/>
    <w:rsid w:val="0069753E"/>
    <w:rsid w:val="006A094F"/>
    <w:rsid w:val="006A16D1"/>
    <w:rsid w:val="006A1C70"/>
    <w:rsid w:val="006A4C00"/>
    <w:rsid w:val="006A4E00"/>
    <w:rsid w:val="006A54A9"/>
    <w:rsid w:val="006A5594"/>
    <w:rsid w:val="006A6F99"/>
    <w:rsid w:val="006A74D0"/>
    <w:rsid w:val="006B0456"/>
    <w:rsid w:val="006B0D0C"/>
    <w:rsid w:val="006B1A65"/>
    <w:rsid w:val="006B2AB3"/>
    <w:rsid w:val="006B3105"/>
    <w:rsid w:val="006B38B6"/>
    <w:rsid w:val="006B53CD"/>
    <w:rsid w:val="006B759E"/>
    <w:rsid w:val="006B7B63"/>
    <w:rsid w:val="006C0686"/>
    <w:rsid w:val="006C3906"/>
    <w:rsid w:val="006C443C"/>
    <w:rsid w:val="006C62C1"/>
    <w:rsid w:val="006C6864"/>
    <w:rsid w:val="006C6B57"/>
    <w:rsid w:val="006C7A62"/>
    <w:rsid w:val="006C7C56"/>
    <w:rsid w:val="006C7DCF"/>
    <w:rsid w:val="006C7EB9"/>
    <w:rsid w:val="006D0F12"/>
    <w:rsid w:val="006D226C"/>
    <w:rsid w:val="006D2E04"/>
    <w:rsid w:val="006D306D"/>
    <w:rsid w:val="006D4C56"/>
    <w:rsid w:val="006D4EED"/>
    <w:rsid w:val="006D5F12"/>
    <w:rsid w:val="006D6C9C"/>
    <w:rsid w:val="006D70FA"/>
    <w:rsid w:val="006E109F"/>
    <w:rsid w:val="006E24F9"/>
    <w:rsid w:val="006E30D4"/>
    <w:rsid w:val="006E343E"/>
    <w:rsid w:val="006E4AB3"/>
    <w:rsid w:val="006E4BF2"/>
    <w:rsid w:val="006E54FF"/>
    <w:rsid w:val="006E5795"/>
    <w:rsid w:val="006E5B6E"/>
    <w:rsid w:val="006E7C8E"/>
    <w:rsid w:val="006F1823"/>
    <w:rsid w:val="006F19DA"/>
    <w:rsid w:val="006F426B"/>
    <w:rsid w:val="006F77A2"/>
    <w:rsid w:val="007004D9"/>
    <w:rsid w:val="00700A2B"/>
    <w:rsid w:val="00702B08"/>
    <w:rsid w:val="00704425"/>
    <w:rsid w:val="007056C3"/>
    <w:rsid w:val="00705E4B"/>
    <w:rsid w:val="00706DD2"/>
    <w:rsid w:val="00706E43"/>
    <w:rsid w:val="00707DFA"/>
    <w:rsid w:val="007100A2"/>
    <w:rsid w:val="007117B9"/>
    <w:rsid w:val="00711DE2"/>
    <w:rsid w:val="00712DE5"/>
    <w:rsid w:val="00712F9A"/>
    <w:rsid w:val="00716DE5"/>
    <w:rsid w:val="00717BE9"/>
    <w:rsid w:val="007209D5"/>
    <w:rsid w:val="00720E85"/>
    <w:rsid w:val="00721459"/>
    <w:rsid w:val="007219E5"/>
    <w:rsid w:val="00721E71"/>
    <w:rsid w:val="00722855"/>
    <w:rsid w:val="007228CF"/>
    <w:rsid w:val="00723036"/>
    <w:rsid w:val="0072429B"/>
    <w:rsid w:val="00725C0A"/>
    <w:rsid w:val="00726C64"/>
    <w:rsid w:val="00730154"/>
    <w:rsid w:val="00730EA0"/>
    <w:rsid w:val="0073189F"/>
    <w:rsid w:val="00731B9F"/>
    <w:rsid w:val="007334A2"/>
    <w:rsid w:val="00734D6D"/>
    <w:rsid w:val="00735046"/>
    <w:rsid w:val="0073515A"/>
    <w:rsid w:val="00735AFB"/>
    <w:rsid w:val="007376AE"/>
    <w:rsid w:val="0074081F"/>
    <w:rsid w:val="00741130"/>
    <w:rsid w:val="00742662"/>
    <w:rsid w:val="00742BB5"/>
    <w:rsid w:val="00743FB1"/>
    <w:rsid w:val="007474B5"/>
    <w:rsid w:val="00750391"/>
    <w:rsid w:val="00750ECE"/>
    <w:rsid w:val="00753EA6"/>
    <w:rsid w:val="00753F6F"/>
    <w:rsid w:val="00754956"/>
    <w:rsid w:val="0075521F"/>
    <w:rsid w:val="00755681"/>
    <w:rsid w:val="00755BC8"/>
    <w:rsid w:val="00756A65"/>
    <w:rsid w:val="00757665"/>
    <w:rsid w:val="00757D83"/>
    <w:rsid w:val="00757FB8"/>
    <w:rsid w:val="0076013D"/>
    <w:rsid w:val="0076166D"/>
    <w:rsid w:val="00761E43"/>
    <w:rsid w:val="007624CE"/>
    <w:rsid w:val="007631B9"/>
    <w:rsid w:val="00763871"/>
    <w:rsid w:val="007646EA"/>
    <w:rsid w:val="0076475A"/>
    <w:rsid w:val="007649E3"/>
    <w:rsid w:val="00770040"/>
    <w:rsid w:val="0077049B"/>
    <w:rsid w:val="007704AE"/>
    <w:rsid w:val="007713FF"/>
    <w:rsid w:val="00771C9B"/>
    <w:rsid w:val="00772312"/>
    <w:rsid w:val="00773135"/>
    <w:rsid w:val="0077378E"/>
    <w:rsid w:val="007739AD"/>
    <w:rsid w:val="00773BAB"/>
    <w:rsid w:val="007747ED"/>
    <w:rsid w:val="0077488C"/>
    <w:rsid w:val="0077549D"/>
    <w:rsid w:val="00775957"/>
    <w:rsid w:val="00776AD4"/>
    <w:rsid w:val="00777B74"/>
    <w:rsid w:val="00777C0C"/>
    <w:rsid w:val="00780766"/>
    <w:rsid w:val="00780A12"/>
    <w:rsid w:val="00780EBD"/>
    <w:rsid w:val="007814E5"/>
    <w:rsid w:val="00782A19"/>
    <w:rsid w:val="00784A42"/>
    <w:rsid w:val="00785244"/>
    <w:rsid w:val="0078577E"/>
    <w:rsid w:val="00785C22"/>
    <w:rsid w:val="007869ED"/>
    <w:rsid w:val="00786CCF"/>
    <w:rsid w:val="00790855"/>
    <w:rsid w:val="007927CC"/>
    <w:rsid w:val="00792B1D"/>
    <w:rsid w:val="00793BE6"/>
    <w:rsid w:val="00795000"/>
    <w:rsid w:val="007958AF"/>
    <w:rsid w:val="00795E6D"/>
    <w:rsid w:val="00795F47"/>
    <w:rsid w:val="007A046E"/>
    <w:rsid w:val="007A07F0"/>
    <w:rsid w:val="007A1E08"/>
    <w:rsid w:val="007A24E7"/>
    <w:rsid w:val="007A2B17"/>
    <w:rsid w:val="007A33C4"/>
    <w:rsid w:val="007A3C8A"/>
    <w:rsid w:val="007A4405"/>
    <w:rsid w:val="007A57BB"/>
    <w:rsid w:val="007A7BD0"/>
    <w:rsid w:val="007B039C"/>
    <w:rsid w:val="007B0838"/>
    <w:rsid w:val="007B0AC7"/>
    <w:rsid w:val="007B122E"/>
    <w:rsid w:val="007B16A4"/>
    <w:rsid w:val="007B41DB"/>
    <w:rsid w:val="007B4F21"/>
    <w:rsid w:val="007B533A"/>
    <w:rsid w:val="007B5956"/>
    <w:rsid w:val="007B64F3"/>
    <w:rsid w:val="007B68D4"/>
    <w:rsid w:val="007B6CC6"/>
    <w:rsid w:val="007B7794"/>
    <w:rsid w:val="007C0285"/>
    <w:rsid w:val="007C03DD"/>
    <w:rsid w:val="007C12CE"/>
    <w:rsid w:val="007C1304"/>
    <w:rsid w:val="007C1CC2"/>
    <w:rsid w:val="007C25CB"/>
    <w:rsid w:val="007C2CAA"/>
    <w:rsid w:val="007C306B"/>
    <w:rsid w:val="007C323A"/>
    <w:rsid w:val="007C3825"/>
    <w:rsid w:val="007C4105"/>
    <w:rsid w:val="007C4EDC"/>
    <w:rsid w:val="007C695D"/>
    <w:rsid w:val="007C7712"/>
    <w:rsid w:val="007C7CCA"/>
    <w:rsid w:val="007D0A79"/>
    <w:rsid w:val="007D0EA8"/>
    <w:rsid w:val="007D137B"/>
    <w:rsid w:val="007D46D5"/>
    <w:rsid w:val="007D5215"/>
    <w:rsid w:val="007D5ACE"/>
    <w:rsid w:val="007D645F"/>
    <w:rsid w:val="007D6BB9"/>
    <w:rsid w:val="007D776A"/>
    <w:rsid w:val="007E2781"/>
    <w:rsid w:val="007E41F6"/>
    <w:rsid w:val="007E4B7D"/>
    <w:rsid w:val="007E4C2B"/>
    <w:rsid w:val="007E4E43"/>
    <w:rsid w:val="007E50E9"/>
    <w:rsid w:val="007E6A20"/>
    <w:rsid w:val="007E6E52"/>
    <w:rsid w:val="007E7474"/>
    <w:rsid w:val="007F0361"/>
    <w:rsid w:val="007F23D5"/>
    <w:rsid w:val="007F2485"/>
    <w:rsid w:val="007F28FC"/>
    <w:rsid w:val="007F3EC5"/>
    <w:rsid w:val="007F5713"/>
    <w:rsid w:val="007F5825"/>
    <w:rsid w:val="00800858"/>
    <w:rsid w:val="0080086E"/>
    <w:rsid w:val="008017F6"/>
    <w:rsid w:val="00801C7B"/>
    <w:rsid w:val="008024E8"/>
    <w:rsid w:val="008027C5"/>
    <w:rsid w:val="00804287"/>
    <w:rsid w:val="00804908"/>
    <w:rsid w:val="0080659D"/>
    <w:rsid w:val="00806EF8"/>
    <w:rsid w:val="00807623"/>
    <w:rsid w:val="0081048F"/>
    <w:rsid w:val="00810C30"/>
    <w:rsid w:val="00811390"/>
    <w:rsid w:val="008137FC"/>
    <w:rsid w:val="0081415D"/>
    <w:rsid w:val="00814DC1"/>
    <w:rsid w:val="008157DF"/>
    <w:rsid w:val="00816311"/>
    <w:rsid w:val="00816AF6"/>
    <w:rsid w:val="008205FA"/>
    <w:rsid w:val="00821086"/>
    <w:rsid w:val="008221F0"/>
    <w:rsid w:val="00822557"/>
    <w:rsid w:val="00823888"/>
    <w:rsid w:val="0082391D"/>
    <w:rsid w:val="00823BDE"/>
    <w:rsid w:val="008260D9"/>
    <w:rsid w:val="00826326"/>
    <w:rsid w:val="00826D99"/>
    <w:rsid w:val="00826DA0"/>
    <w:rsid w:val="008277EA"/>
    <w:rsid w:val="00827AA8"/>
    <w:rsid w:val="00830888"/>
    <w:rsid w:val="00831A43"/>
    <w:rsid w:val="00831F7A"/>
    <w:rsid w:val="00832EA6"/>
    <w:rsid w:val="00834ED1"/>
    <w:rsid w:val="00835450"/>
    <w:rsid w:val="0083632D"/>
    <w:rsid w:val="00836506"/>
    <w:rsid w:val="00842302"/>
    <w:rsid w:val="00843365"/>
    <w:rsid w:val="0084409A"/>
    <w:rsid w:val="00844781"/>
    <w:rsid w:val="00845CB8"/>
    <w:rsid w:val="00846879"/>
    <w:rsid w:val="00847351"/>
    <w:rsid w:val="0084740F"/>
    <w:rsid w:val="008505CB"/>
    <w:rsid w:val="008506BA"/>
    <w:rsid w:val="00850950"/>
    <w:rsid w:val="00851113"/>
    <w:rsid w:val="0085213B"/>
    <w:rsid w:val="008531BC"/>
    <w:rsid w:val="0085423A"/>
    <w:rsid w:val="0085491F"/>
    <w:rsid w:val="00854B96"/>
    <w:rsid w:val="00855231"/>
    <w:rsid w:val="0085537A"/>
    <w:rsid w:val="00855B61"/>
    <w:rsid w:val="0085646B"/>
    <w:rsid w:val="0085727C"/>
    <w:rsid w:val="00860E38"/>
    <w:rsid w:val="00860F03"/>
    <w:rsid w:val="00861E8D"/>
    <w:rsid w:val="008625CA"/>
    <w:rsid w:val="00863EF4"/>
    <w:rsid w:val="008650AF"/>
    <w:rsid w:val="0086528E"/>
    <w:rsid w:val="00867B85"/>
    <w:rsid w:val="00867F2D"/>
    <w:rsid w:val="008707B7"/>
    <w:rsid w:val="00871240"/>
    <w:rsid w:val="008712F1"/>
    <w:rsid w:val="00871561"/>
    <w:rsid w:val="008718D6"/>
    <w:rsid w:val="00871E46"/>
    <w:rsid w:val="00871FCC"/>
    <w:rsid w:val="00872ECD"/>
    <w:rsid w:val="008730A0"/>
    <w:rsid w:val="00873627"/>
    <w:rsid w:val="008827A3"/>
    <w:rsid w:val="00884731"/>
    <w:rsid w:val="008850F9"/>
    <w:rsid w:val="0089005C"/>
    <w:rsid w:val="0089057D"/>
    <w:rsid w:val="008907FF"/>
    <w:rsid w:val="0089186D"/>
    <w:rsid w:val="0089486A"/>
    <w:rsid w:val="00894D94"/>
    <w:rsid w:val="00895DF4"/>
    <w:rsid w:val="00896C6C"/>
    <w:rsid w:val="00897B74"/>
    <w:rsid w:val="00897CFF"/>
    <w:rsid w:val="008A026C"/>
    <w:rsid w:val="008A1248"/>
    <w:rsid w:val="008A1CA5"/>
    <w:rsid w:val="008A2515"/>
    <w:rsid w:val="008A55BD"/>
    <w:rsid w:val="008A6E0D"/>
    <w:rsid w:val="008A6F69"/>
    <w:rsid w:val="008B0741"/>
    <w:rsid w:val="008B13D3"/>
    <w:rsid w:val="008B1E56"/>
    <w:rsid w:val="008B1EF1"/>
    <w:rsid w:val="008B228A"/>
    <w:rsid w:val="008B257F"/>
    <w:rsid w:val="008B349C"/>
    <w:rsid w:val="008B3FB7"/>
    <w:rsid w:val="008B5A87"/>
    <w:rsid w:val="008B63CD"/>
    <w:rsid w:val="008C0ADC"/>
    <w:rsid w:val="008C0CDB"/>
    <w:rsid w:val="008C1078"/>
    <w:rsid w:val="008C180F"/>
    <w:rsid w:val="008C186D"/>
    <w:rsid w:val="008C1F5B"/>
    <w:rsid w:val="008C220C"/>
    <w:rsid w:val="008C3A56"/>
    <w:rsid w:val="008C5924"/>
    <w:rsid w:val="008C6CF6"/>
    <w:rsid w:val="008C6DD6"/>
    <w:rsid w:val="008C7263"/>
    <w:rsid w:val="008C74F8"/>
    <w:rsid w:val="008C75F5"/>
    <w:rsid w:val="008D024A"/>
    <w:rsid w:val="008D214F"/>
    <w:rsid w:val="008D2279"/>
    <w:rsid w:val="008D2B2A"/>
    <w:rsid w:val="008D3D48"/>
    <w:rsid w:val="008D415A"/>
    <w:rsid w:val="008D4469"/>
    <w:rsid w:val="008D45A8"/>
    <w:rsid w:val="008D4BF1"/>
    <w:rsid w:val="008D512C"/>
    <w:rsid w:val="008D6860"/>
    <w:rsid w:val="008D7A9B"/>
    <w:rsid w:val="008E00A5"/>
    <w:rsid w:val="008E03FB"/>
    <w:rsid w:val="008E0902"/>
    <w:rsid w:val="008E21A7"/>
    <w:rsid w:val="008E2D4C"/>
    <w:rsid w:val="008E53B7"/>
    <w:rsid w:val="008E56FC"/>
    <w:rsid w:val="008E5D15"/>
    <w:rsid w:val="008E75E7"/>
    <w:rsid w:val="008F0C33"/>
    <w:rsid w:val="008F17BB"/>
    <w:rsid w:val="008F17FD"/>
    <w:rsid w:val="008F247A"/>
    <w:rsid w:val="008F4FBF"/>
    <w:rsid w:val="008F5023"/>
    <w:rsid w:val="008F57C5"/>
    <w:rsid w:val="008F5C3C"/>
    <w:rsid w:val="008F5C80"/>
    <w:rsid w:val="008F7000"/>
    <w:rsid w:val="008F75B6"/>
    <w:rsid w:val="008F7D63"/>
    <w:rsid w:val="00900064"/>
    <w:rsid w:val="00900D0F"/>
    <w:rsid w:val="00901F70"/>
    <w:rsid w:val="00902BD3"/>
    <w:rsid w:val="00902DB3"/>
    <w:rsid w:val="00904DC5"/>
    <w:rsid w:val="00905702"/>
    <w:rsid w:val="00907757"/>
    <w:rsid w:val="00907898"/>
    <w:rsid w:val="00907B20"/>
    <w:rsid w:val="009108B8"/>
    <w:rsid w:val="00910CBD"/>
    <w:rsid w:val="009123CB"/>
    <w:rsid w:val="00912989"/>
    <w:rsid w:val="00912DD5"/>
    <w:rsid w:val="009145E9"/>
    <w:rsid w:val="00914C6A"/>
    <w:rsid w:val="009179FE"/>
    <w:rsid w:val="00920B8D"/>
    <w:rsid w:val="00922FDF"/>
    <w:rsid w:val="009233CC"/>
    <w:rsid w:val="00923AB0"/>
    <w:rsid w:val="00924217"/>
    <w:rsid w:val="0092497E"/>
    <w:rsid w:val="00924DAE"/>
    <w:rsid w:val="0092706B"/>
    <w:rsid w:val="0092758D"/>
    <w:rsid w:val="009279F7"/>
    <w:rsid w:val="00927C95"/>
    <w:rsid w:val="00931EC1"/>
    <w:rsid w:val="00932282"/>
    <w:rsid w:val="009326B0"/>
    <w:rsid w:val="00932CAB"/>
    <w:rsid w:val="00933612"/>
    <w:rsid w:val="00933A1A"/>
    <w:rsid w:val="00934AB0"/>
    <w:rsid w:val="00934B02"/>
    <w:rsid w:val="00935028"/>
    <w:rsid w:val="009354E1"/>
    <w:rsid w:val="00936187"/>
    <w:rsid w:val="009363DE"/>
    <w:rsid w:val="00936C23"/>
    <w:rsid w:val="00937260"/>
    <w:rsid w:val="009378F2"/>
    <w:rsid w:val="009409DB"/>
    <w:rsid w:val="00940BD5"/>
    <w:rsid w:val="009410DF"/>
    <w:rsid w:val="00944D27"/>
    <w:rsid w:val="00946057"/>
    <w:rsid w:val="00946686"/>
    <w:rsid w:val="00950C9B"/>
    <w:rsid w:val="009524A1"/>
    <w:rsid w:val="00953E33"/>
    <w:rsid w:val="00954E03"/>
    <w:rsid w:val="00954FAD"/>
    <w:rsid w:val="009565BC"/>
    <w:rsid w:val="00957088"/>
    <w:rsid w:val="0096081A"/>
    <w:rsid w:val="00962642"/>
    <w:rsid w:val="00962C73"/>
    <w:rsid w:val="00963106"/>
    <w:rsid w:val="00964E1F"/>
    <w:rsid w:val="00965479"/>
    <w:rsid w:val="00965F78"/>
    <w:rsid w:val="0096765E"/>
    <w:rsid w:val="009678C7"/>
    <w:rsid w:val="00967ACE"/>
    <w:rsid w:val="00967FB1"/>
    <w:rsid w:val="00970121"/>
    <w:rsid w:val="009732D9"/>
    <w:rsid w:val="00973ABC"/>
    <w:rsid w:val="00974CDC"/>
    <w:rsid w:val="00976653"/>
    <w:rsid w:val="00977310"/>
    <w:rsid w:val="0098022D"/>
    <w:rsid w:val="00982240"/>
    <w:rsid w:val="00982F9E"/>
    <w:rsid w:val="00983164"/>
    <w:rsid w:val="0098428C"/>
    <w:rsid w:val="00984819"/>
    <w:rsid w:val="00984835"/>
    <w:rsid w:val="00985FD8"/>
    <w:rsid w:val="009873B8"/>
    <w:rsid w:val="00987B48"/>
    <w:rsid w:val="009917FC"/>
    <w:rsid w:val="00991DC3"/>
    <w:rsid w:val="00992755"/>
    <w:rsid w:val="0099359A"/>
    <w:rsid w:val="00993B19"/>
    <w:rsid w:val="00993D03"/>
    <w:rsid w:val="0099474B"/>
    <w:rsid w:val="0099510E"/>
    <w:rsid w:val="0099567F"/>
    <w:rsid w:val="00995EBE"/>
    <w:rsid w:val="009967C1"/>
    <w:rsid w:val="009A00D1"/>
    <w:rsid w:val="009A2759"/>
    <w:rsid w:val="009A3F43"/>
    <w:rsid w:val="009A4F80"/>
    <w:rsid w:val="009A546F"/>
    <w:rsid w:val="009A6B97"/>
    <w:rsid w:val="009A6CD4"/>
    <w:rsid w:val="009A6F95"/>
    <w:rsid w:val="009B124A"/>
    <w:rsid w:val="009B12B1"/>
    <w:rsid w:val="009B18F9"/>
    <w:rsid w:val="009B218D"/>
    <w:rsid w:val="009B22BE"/>
    <w:rsid w:val="009B28C5"/>
    <w:rsid w:val="009B3352"/>
    <w:rsid w:val="009B3930"/>
    <w:rsid w:val="009B4ECC"/>
    <w:rsid w:val="009B642B"/>
    <w:rsid w:val="009B6C91"/>
    <w:rsid w:val="009C0613"/>
    <w:rsid w:val="009C06B9"/>
    <w:rsid w:val="009C1225"/>
    <w:rsid w:val="009C3531"/>
    <w:rsid w:val="009C371E"/>
    <w:rsid w:val="009C4176"/>
    <w:rsid w:val="009C579D"/>
    <w:rsid w:val="009C5B74"/>
    <w:rsid w:val="009C6209"/>
    <w:rsid w:val="009C7AF2"/>
    <w:rsid w:val="009C7D9C"/>
    <w:rsid w:val="009D0242"/>
    <w:rsid w:val="009D043F"/>
    <w:rsid w:val="009D0531"/>
    <w:rsid w:val="009D0937"/>
    <w:rsid w:val="009D09A5"/>
    <w:rsid w:val="009D0DAF"/>
    <w:rsid w:val="009D12A5"/>
    <w:rsid w:val="009D1927"/>
    <w:rsid w:val="009D36F9"/>
    <w:rsid w:val="009D748A"/>
    <w:rsid w:val="009D7849"/>
    <w:rsid w:val="009D7AD5"/>
    <w:rsid w:val="009E15B9"/>
    <w:rsid w:val="009E19E9"/>
    <w:rsid w:val="009E1DD5"/>
    <w:rsid w:val="009E2338"/>
    <w:rsid w:val="009E2E75"/>
    <w:rsid w:val="009E3D19"/>
    <w:rsid w:val="009E59AD"/>
    <w:rsid w:val="009E614D"/>
    <w:rsid w:val="009E7E7B"/>
    <w:rsid w:val="009E7F98"/>
    <w:rsid w:val="009F1363"/>
    <w:rsid w:val="009F1648"/>
    <w:rsid w:val="009F2775"/>
    <w:rsid w:val="009F27AD"/>
    <w:rsid w:val="009F2BA1"/>
    <w:rsid w:val="009F3CF4"/>
    <w:rsid w:val="009F47B4"/>
    <w:rsid w:val="009F5412"/>
    <w:rsid w:val="009F63A5"/>
    <w:rsid w:val="009F6C36"/>
    <w:rsid w:val="009F775F"/>
    <w:rsid w:val="009F77A9"/>
    <w:rsid w:val="00A01A94"/>
    <w:rsid w:val="00A054C3"/>
    <w:rsid w:val="00A054D3"/>
    <w:rsid w:val="00A07694"/>
    <w:rsid w:val="00A1057F"/>
    <w:rsid w:val="00A1195F"/>
    <w:rsid w:val="00A1279F"/>
    <w:rsid w:val="00A137B1"/>
    <w:rsid w:val="00A14178"/>
    <w:rsid w:val="00A14BE4"/>
    <w:rsid w:val="00A15A62"/>
    <w:rsid w:val="00A15EBE"/>
    <w:rsid w:val="00A1607F"/>
    <w:rsid w:val="00A16843"/>
    <w:rsid w:val="00A16A97"/>
    <w:rsid w:val="00A16E6F"/>
    <w:rsid w:val="00A17053"/>
    <w:rsid w:val="00A170D0"/>
    <w:rsid w:val="00A17F3D"/>
    <w:rsid w:val="00A208E8"/>
    <w:rsid w:val="00A20CBA"/>
    <w:rsid w:val="00A211F4"/>
    <w:rsid w:val="00A21277"/>
    <w:rsid w:val="00A22F4D"/>
    <w:rsid w:val="00A23600"/>
    <w:rsid w:val="00A240F1"/>
    <w:rsid w:val="00A24371"/>
    <w:rsid w:val="00A246C5"/>
    <w:rsid w:val="00A257AF"/>
    <w:rsid w:val="00A25B78"/>
    <w:rsid w:val="00A27294"/>
    <w:rsid w:val="00A27958"/>
    <w:rsid w:val="00A3012E"/>
    <w:rsid w:val="00A30263"/>
    <w:rsid w:val="00A303B2"/>
    <w:rsid w:val="00A30DDD"/>
    <w:rsid w:val="00A323D5"/>
    <w:rsid w:val="00A350AB"/>
    <w:rsid w:val="00A37463"/>
    <w:rsid w:val="00A40089"/>
    <w:rsid w:val="00A41C8A"/>
    <w:rsid w:val="00A4227C"/>
    <w:rsid w:val="00A434DB"/>
    <w:rsid w:val="00A43511"/>
    <w:rsid w:val="00A43AE9"/>
    <w:rsid w:val="00A442A5"/>
    <w:rsid w:val="00A45B28"/>
    <w:rsid w:val="00A46BE1"/>
    <w:rsid w:val="00A47889"/>
    <w:rsid w:val="00A478DC"/>
    <w:rsid w:val="00A5116E"/>
    <w:rsid w:val="00A53128"/>
    <w:rsid w:val="00A5364F"/>
    <w:rsid w:val="00A54204"/>
    <w:rsid w:val="00A54DF7"/>
    <w:rsid w:val="00A5511B"/>
    <w:rsid w:val="00A55635"/>
    <w:rsid w:val="00A55D1F"/>
    <w:rsid w:val="00A569E6"/>
    <w:rsid w:val="00A63263"/>
    <w:rsid w:val="00A64900"/>
    <w:rsid w:val="00A64A1F"/>
    <w:rsid w:val="00A6714D"/>
    <w:rsid w:val="00A67D96"/>
    <w:rsid w:val="00A67FE3"/>
    <w:rsid w:val="00A7018C"/>
    <w:rsid w:val="00A704E0"/>
    <w:rsid w:val="00A7168D"/>
    <w:rsid w:val="00A720D6"/>
    <w:rsid w:val="00A72D47"/>
    <w:rsid w:val="00A7300C"/>
    <w:rsid w:val="00A732C1"/>
    <w:rsid w:val="00A738E5"/>
    <w:rsid w:val="00A76A26"/>
    <w:rsid w:val="00A8033F"/>
    <w:rsid w:val="00A82EFF"/>
    <w:rsid w:val="00A8380A"/>
    <w:rsid w:val="00A83F4A"/>
    <w:rsid w:val="00A84137"/>
    <w:rsid w:val="00A846A9"/>
    <w:rsid w:val="00A848C8"/>
    <w:rsid w:val="00A8494E"/>
    <w:rsid w:val="00A84B28"/>
    <w:rsid w:val="00A85250"/>
    <w:rsid w:val="00A85298"/>
    <w:rsid w:val="00A85AFC"/>
    <w:rsid w:val="00A86058"/>
    <w:rsid w:val="00A86143"/>
    <w:rsid w:val="00A86848"/>
    <w:rsid w:val="00A86B5E"/>
    <w:rsid w:val="00A923F3"/>
    <w:rsid w:val="00A9255D"/>
    <w:rsid w:val="00A92ABD"/>
    <w:rsid w:val="00A93689"/>
    <w:rsid w:val="00A94687"/>
    <w:rsid w:val="00A94BF6"/>
    <w:rsid w:val="00A96185"/>
    <w:rsid w:val="00A96B58"/>
    <w:rsid w:val="00A978FB"/>
    <w:rsid w:val="00A97CE5"/>
    <w:rsid w:val="00AA0008"/>
    <w:rsid w:val="00AA07C3"/>
    <w:rsid w:val="00AA07ED"/>
    <w:rsid w:val="00AA353B"/>
    <w:rsid w:val="00AA6648"/>
    <w:rsid w:val="00AB03F1"/>
    <w:rsid w:val="00AB1596"/>
    <w:rsid w:val="00AB1D34"/>
    <w:rsid w:val="00AB1FD4"/>
    <w:rsid w:val="00AB3088"/>
    <w:rsid w:val="00AB5324"/>
    <w:rsid w:val="00AB5DE7"/>
    <w:rsid w:val="00AB6624"/>
    <w:rsid w:val="00AB7055"/>
    <w:rsid w:val="00AB7C2A"/>
    <w:rsid w:val="00AC17D1"/>
    <w:rsid w:val="00AC484F"/>
    <w:rsid w:val="00AC50A1"/>
    <w:rsid w:val="00AC58B4"/>
    <w:rsid w:val="00AC670D"/>
    <w:rsid w:val="00AC7731"/>
    <w:rsid w:val="00AD188D"/>
    <w:rsid w:val="00AD21EF"/>
    <w:rsid w:val="00AD5089"/>
    <w:rsid w:val="00AD5CF1"/>
    <w:rsid w:val="00AD7213"/>
    <w:rsid w:val="00AD7A34"/>
    <w:rsid w:val="00AE0107"/>
    <w:rsid w:val="00AE04E9"/>
    <w:rsid w:val="00AE1C53"/>
    <w:rsid w:val="00AE2BC1"/>
    <w:rsid w:val="00AE32D5"/>
    <w:rsid w:val="00AE43A5"/>
    <w:rsid w:val="00AE5058"/>
    <w:rsid w:val="00AE6B6A"/>
    <w:rsid w:val="00AE7BAE"/>
    <w:rsid w:val="00AE7DB7"/>
    <w:rsid w:val="00AF0820"/>
    <w:rsid w:val="00AF0D1C"/>
    <w:rsid w:val="00AF1118"/>
    <w:rsid w:val="00AF1171"/>
    <w:rsid w:val="00AF177E"/>
    <w:rsid w:val="00AF1A53"/>
    <w:rsid w:val="00AF3571"/>
    <w:rsid w:val="00AF433C"/>
    <w:rsid w:val="00AF4628"/>
    <w:rsid w:val="00AF4A63"/>
    <w:rsid w:val="00AF5CE4"/>
    <w:rsid w:val="00AF6B78"/>
    <w:rsid w:val="00AF7A01"/>
    <w:rsid w:val="00B02627"/>
    <w:rsid w:val="00B0464A"/>
    <w:rsid w:val="00B0476F"/>
    <w:rsid w:val="00B04C26"/>
    <w:rsid w:val="00B066CB"/>
    <w:rsid w:val="00B073FB"/>
    <w:rsid w:val="00B10B96"/>
    <w:rsid w:val="00B11B82"/>
    <w:rsid w:val="00B12726"/>
    <w:rsid w:val="00B12F78"/>
    <w:rsid w:val="00B12FEC"/>
    <w:rsid w:val="00B1300A"/>
    <w:rsid w:val="00B13772"/>
    <w:rsid w:val="00B13BC9"/>
    <w:rsid w:val="00B141EB"/>
    <w:rsid w:val="00B16A79"/>
    <w:rsid w:val="00B20357"/>
    <w:rsid w:val="00B20A8E"/>
    <w:rsid w:val="00B20FBD"/>
    <w:rsid w:val="00B21149"/>
    <w:rsid w:val="00B3105C"/>
    <w:rsid w:val="00B31EBC"/>
    <w:rsid w:val="00B3277D"/>
    <w:rsid w:val="00B32F57"/>
    <w:rsid w:val="00B344E2"/>
    <w:rsid w:val="00B34785"/>
    <w:rsid w:val="00B34FBE"/>
    <w:rsid w:val="00B35103"/>
    <w:rsid w:val="00B356FB"/>
    <w:rsid w:val="00B372DD"/>
    <w:rsid w:val="00B37957"/>
    <w:rsid w:val="00B37D05"/>
    <w:rsid w:val="00B402B7"/>
    <w:rsid w:val="00B41D99"/>
    <w:rsid w:val="00B44363"/>
    <w:rsid w:val="00B445FC"/>
    <w:rsid w:val="00B46B2F"/>
    <w:rsid w:val="00B479F0"/>
    <w:rsid w:val="00B50469"/>
    <w:rsid w:val="00B510FA"/>
    <w:rsid w:val="00B511C2"/>
    <w:rsid w:val="00B51355"/>
    <w:rsid w:val="00B51888"/>
    <w:rsid w:val="00B51B09"/>
    <w:rsid w:val="00B5259B"/>
    <w:rsid w:val="00B533DC"/>
    <w:rsid w:val="00B53424"/>
    <w:rsid w:val="00B54EFB"/>
    <w:rsid w:val="00B55100"/>
    <w:rsid w:val="00B56096"/>
    <w:rsid w:val="00B62B53"/>
    <w:rsid w:val="00B62EB4"/>
    <w:rsid w:val="00B6467F"/>
    <w:rsid w:val="00B64876"/>
    <w:rsid w:val="00B649E1"/>
    <w:rsid w:val="00B64BC0"/>
    <w:rsid w:val="00B655A1"/>
    <w:rsid w:val="00B666C8"/>
    <w:rsid w:val="00B67D43"/>
    <w:rsid w:val="00B71F08"/>
    <w:rsid w:val="00B72800"/>
    <w:rsid w:val="00B734F1"/>
    <w:rsid w:val="00B73B3E"/>
    <w:rsid w:val="00B74D36"/>
    <w:rsid w:val="00B755A4"/>
    <w:rsid w:val="00B760DE"/>
    <w:rsid w:val="00B765CF"/>
    <w:rsid w:val="00B77C72"/>
    <w:rsid w:val="00B81676"/>
    <w:rsid w:val="00B834E0"/>
    <w:rsid w:val="00B8398F"/>
    <w:rsid w:val="00B83B38"/>
    <w:rsid w:val="00B84C38"/>
    <w:rsid w:val="00B85637"/>
    <w:rsid w:val="00B86EAA"/>
    <w:rsid w:val="00B87347"/>
    <w:rsid w:val="00B90215"/>
    <w:rsid w:val="00B91476"/>
    <w:rsid w:val="00B937B7"/>
    <w:rsid w:val="00B93948"/>
    <w:rsid w:val="00B94248"/>
    <w:rsid w:val="00B9490D"/>
    <w:rsid w:val="00B95CBA"/>
    <w:rsid w:val="00B975C5"/>
    <w:rsid w:val="00BA1E95"/>
    <w:rsid w:val="00BA226C"/>
    <w:rsid w:val="00BA253F"/>
    <w:rsid w:val="00BA341A"/>
    <w:rsid w:val="00BA3607"/>
    <w:rsid w:val="00BA3DE9"/>
    <w:rsid w:val="00BA57C7"/>
    <w:rsid w:val="00BA583A"/>
    <w:rsid w:val="00BA60BC"/>
    <w:rsid w:val="00BA67F3"/>
    <w:rsid w:val="00BA6F4F"/>
    <w:rsid w:val="00BA74E7"/>
    <w:rsid w:val="00BB1BC4"/>
    <w:rsid w:val="00BB2F17"/>
    <w:rsid w:val="00BB3030"/>
    <w:rsid w:val="00BB3ADF"/>
    <w:rsid w:val="00BB448A"/>
    <w:rsid w:val="00BB479F"/>
    <w:rsid w:val="00BB4EEE"/>
    <w:rsid w:val="00BB6241"/>
    <w:rsid w:val="00BB7062"/>
    <w:rsid w:val="00BC10DE"/>
    <w:rsid w:val="00BC14CF"/>
    <w:rsid w:val="00BC1D8F"/>
    <w:rsid w:val="00BC2D1F"/>
    <w:rsid w:val="00BC473B"/>
    <w:rsid w:val="00BC52DA"/>
    <w:rsid w:val="00BC6994"/>
    <w:rsid w:val="00BC6AEC"/>
    <w:rsid w:val="00BC7643"/>
    <w:rsid w:val="00BC7E05"/>
    <w:rsid w:val="00BD22A8"/>
    <w:rsid w:val="00BD2400"/>
    <w:rsid w:val="00BD24BE"/>
    <w:rsid w:val="00BD36C8"/>
    <w:rsid w:val="00BD3EB4"/>
    <w:rsid w:val="00BD4ECA"/>
    <w:rsid w:val="00BD6842"/>
    <w:rsid w:val="00BE0C47"/>
    <w:rsid w:val="00BE1DFB"/>
    <w:rsid w:val="00BE232D"/>
    <w:rsid w:val="00BE38B6"/>
    <w:rsid w:val="00BE4A6B"/>
    <w:rsid w:val="00BE5517"/>
    <w:rsid w:val="00BE633C"/>
    <w:rsid w:val="00BE653F"/>
    <w:rsid w:val="00BE6FDF"/>
    <w:rsid w:val="00BE7770"/>
    <w:rsid w:val="00BE7E23"/>
    <w:rsid w:val="00BE7EE9"/>
    <w:rsid w:val="00BF0C0C"/>
    <w:rsid w:val="00BF2C05"/>
    <w:rsid w:val="00BF2E37"/>
    <w:rsid w:val="00BF35D1"/>
    <w:rsid w:val="00BF4538"/>
    <w:rsid w:val="00BF4C88"/>
    <w:rsid w:val="00BF54E8"/>
    <w:rsid w:val="00BF5E30"/>
    <w:rsid w:val="00BF617A"/>
    <w:rsid w:val="00BF62CB"/>
    <w:rsid w:val="00BF6473"/>
    <w:rsid w:val="00C0096B"/>
    <w:rsid w:val="00C01516"/>
    <w:rsid w:val="00C0156B"/>
    <w:rsid w:val="00C01B79"/>
    <w:rsid w:val="00C04BA7"/>
    <w:rsid w:val="00C06F72"/>
    <w:rsid w:val="00C108C3"/>
    <w:rsid w:val="00C11DDB"/>
    <w:rsid w:val="00C1240B"/>
    <w:rsid w:val="00C12633"/>
    <w:rsid w:val="00C1279C"/>
    <w:rsid w:val="00C12F79"/>
    <w:rsid w:val="00C13010"/>
    <w:rsid w:val="00C14B05"/>
    <w:rsid w:val="00C216A4"/>
    <w:rsid w:val="00C21B87"/>
    <w:rsid w:val="00C2209E"/>
    <w:rsid w:val="00C222D3"/>
    <w:rsid w:val="00C2320C"/>
    <w:rsid w:val="00C236A2"/>
    <w:rsid w:val="00C25ABC"/>
    <w:rsid w:val="00C26DED"/>
    <w:rsid w:val="00C277DA"/>
    <w:rsid w:val="00C301B9"/>
    <w:rsid w:val="00C30AC3"/>
    <w:rsid w:val="00C30FE1"/>
    <w:rsid w:val="00C32C61"/>
    <w:rsid w:val="00C349B7"/>
    <w:rsid w:val="00C35798"/>
    <w:rsid w:val="00C371CC"/>
    <w:rsid w:val="00C402BD"/>
    <w:rsid w:val="00C403BE"/>
    <w:rsid w:val="00C40A1F"/>
    <w:rsid w:val="00C4158B"/>
    <w:rsid w:val="00C415C9"/>
    <w:rsid w:val="00C41B02"/>
    <w:rsid w:val="00C421B3"/>
    <w:rsid w:val="00C434E3"/>
    <w:rsid w:val="00C43BCF"/>
    <w:rsid w:val="00C468E1"/>
    <w:rsid w:val="00C47909"/>
    <w:rsid w:val="00C47D02"/>
    <w:rsid w:val="00C47E03"/>
    <w:rsid w:val="00C52DB9"/>
    <w:rsid w:val="00C5330C"/>
    <w:rsid w:val="00C5351E"/>
    <w:rsid w:val="00C53B07"/>
    <w:rsid w:val="00C54B35"/>
    <w:rsid w:val="00C565FD"/>
    <w:rsid w:val="00C576D7"/>
    <w:rsid w:val="00C57B95"/>
    <w:rsid w:val="00C626DB"/>
    <w:rsid w:val="00C62CFA"/>
    <w:rsid w:val="00C64510"/>
    <w:rsid w:val="00C65722"/>
    <w:rsid w:val="00C657B3"/>
    <w:rsid w:val="00C673E6"/>
    <w:rsid w:val="00C67CAF"/>
    <w:rsid w:val="00C7089D"/>
    <w:rsid w:val="00C70EB4"/>
    <w:rsid w:val="00C7243B"/>
    <w:rsid w:val="00C72BA2"/>
    <w:rsid w:val="00C7358B"/>
    <w:rsid w:val="00C735CD"/>
    <w:rsid w:val="00C73689"/>
    <w:rsid w:val="00C73DF0"/>
    <w:rsid w:val="00C747FC"/>
    <w:rsid w:val="00C7494B"/>
    <w:rsid w:val="00C74B51"/>
    <w:rsid w:val="00C75277"/>
    <w:rsid w:val="00C75A97"/>
    <w:rsid w:val="00C7644F"/>
    <w:rsid w:val="00C76968"/>
    <w:rsid w:val="00C776C0"/>
    <w:rsid w:val="00C80D18"/>
    <w:rsid w:val="00C80DCD"/>
    <w:rsid w:val="00C81B48"/>
    <w:rsid w:val="00C82307"/>
    <w:rsid w:val="00C83BE7"/>
    <w:rsid w:val="00C83FE1"/>
    <w:rsid w:val="00C8579E"/>
    <w:rsid w:val="00C85C0F"/>
    <w:rsid w:val="00C918C7"/>
    <w:rsid w:val="00C926D4"/>
    <w:rsid w:val="00C9271B"/>
    <w:rsid w:val="00C928F2"/>
    <w:rsid w:val="00C92FF9"/>
    <w:rsid w:val="00C934E0"/>
    <w:rsid w:val="00C93934"/>
    <w:rsid w:val="00C93993"/>
    <w:rsid w:val="00C9434F"/>
    <w:rsid w:val="00C95917"/>
    <w:rsid w:val="00C963FD"/>
    <w:rsid w:val="00C9672F"/>
    <w:rsid w:val="00C96D62"/>
    <w:rsid w:val="00C96F6B"/>
    <w:rsid w:val="00C971F2"/>
    <w:rsid w:val="00C975E7"/>
    <w:rsid w:val="00CA0644"/>
    <w:rsid w:val="00CA1542"/>
    <w:rsid w:val="00CA1948"/>
    <w:rsid w:val="00CA1963"/>
    <w:rsid w:val="00CA2540"/>
    <w:rsid w:val="00CA4D2C"/>
    <w:rsid w:val="00CA4E4B"/>
    <w:rsid w:val="00CA6931"/>
    <w:rsid w:val="00CA6E59"/>
    <w:rsid w:val="00CA718B"/>
    <w:rsid w:val="00CA77B8"/>
    <w:rsid w:val="00CA7F02"/>
    <w:rsid w:val="00CB005C"/>
    <w:rsid w:val="00CB0548"/>
    <w:rsid w:val="00CB0A6C"/>
    <w:rsid w:val="00CB1CB3"/>
    <w:rsid w:val="00CB1DFF"/>
    <w:rsid w:val="00CB1E88"/>
    <w:rsid w:val="00CB1F4F"/>
    <w:rsid w:val="00CB2AE8"/>
    <w:rsid w:val="00CB2FB7"/>
    <w:rsid w:val="00CB3B06"/>
    <w:rsid w:val="00CB4034"/>
    <w:rsid w:val="00CB548F"/>
    <w:rsid w:val="00CB58BF"/>
    <w:rsid w:val="00CB6A1D"/>
    <w:rsid w:val="00CB6B47"/>
    <w:rsid w:val="00CB7B39"/>
    <w:rsid w:val="00CC1B93"/>
    <w:rsid w:val="00CC2275"/>
    <w:rsid w:val="00CC4D68"/>
    <w:rsid w:val="00CC6894"/>
    <w:rsid w:val="00CC6A5F"/>
    <w:rsid w:val="00CD08EF"/>
    <w:rsid w:val="00CD1BDA"/>
    <w:rsid w:val="00CD3A80"/>
    <w:rsid w:val="00CD4118"/>
    <w:rsid w:val="00CD6411"/>
    <w:rsid w:val="00CD792F"/>
    <w:rsid w:val="00CE058B"/>
    <w:rsid w:val="00CE1C93"/>
    <w:rsid w:val="00CE278F"/>
    <w:rsid w:val="00CE3BF2"/>
    <w:rsid w:val="00CE3CA9"/>
    <w:rsid w:val="00CE4290"/>
    <w:rsid w:val="00CE4A81"/>
    <w:rsid w:val="00CE500B"/>
    <w:rsid w:val="00CE5665"/>
    <w:rsid w:val="00CE5A70"/>
    <w:rsid w:val="00CE6CEB"/>
    <w:rsid w:val="00CE6CF2"/>
    <w:rsid w:val="00CE715A"/>
    <w:rsid w:val="00CE75E6"/>
    <w:rsid w:val="00CE7FAF"/>
    <w:rsid w:val="00CF07C3"/>
    <w:rsid w:val="00CF17FF"/>
    <w:rsid w:val="00CF28C8"/>
    <w:rsid w:val="00CF3A05"/>
    <w:rsid w:val="00CF3CAA"/>
    <w:rsid w:val="00CF53A9"/>
    <w:rsid w:val="00CF69A9"/>
    <w:rsid w:val="00CF6C44"/>
    <w:rsid w:val="00CF6FB0"/>
    <w:rsid w:val="00CF7213"/>
    <w:rsid w:val="00CF7499"/>
    <w:rsid w:val="00CF7AC5"/>
    <w:rsid w:val="00D000CF"/>
    <w:rsid w:val="00D03C7A"/>
    <w:rsid w:val="00D05D98"/>
    <w:rsid w:val="00D0646B"/>
    <w:rsid w:val="00D06483"/>
    <w:rsid w:val="00D06C56"/>
    <w:rsid w:val="00D1014D"/>
    <w:rsid w:val="00D10A95"/>
    <w:rsid w:val="00D11814"/>
    <w:rsid w:val="00D11849"/>
    <w:rsid w:val="00D12389"/>
    <w:rsid w:val="00D13D2A"/>
    <w:rsid w:val="00D14C1F"/>
    <w:rsid w:val="00D15081"/>
    <w:rsid w:val="00D152AE"/>
    <w:rsid w:val="00D15FF2"/>
    <w:rsid w:val="00D16344"/>
    <w:rsid w:val="00D1698D"/>
    <w:rsid w:val="00D16D59"/>
    <w:rsid w:val="00D202C0"/>
    <w:rsid w:val="00D226F2"/>
    <w:rsid w:val="00D2275E"/>
    <w:rsid w:val="00D22AA2"/>
    <w:rsid w:val="00D22CB7"/>
    <w:rsid w:val="00D236CA"/>
    <w:rsid w:val="00D257BE"/>
    <w:rsid w:val="00D25951"/>
    <w:rsid w:val="00D25F80"/>
    <w:rsid w:val="00D276DA"/>
    <w:rsid w:val="00D30C40"/>
    <w:rsid w:val="00D311DC"/>
    <w:rsid w:val="00D313E8"/>
    <w:rsid w:val="00D32901"/>
    <w:rsid w:val="00D34B66"/>
    <w:rsid w:val="00D352C4"/>
    <w:rsid w:val="00D35459"/>
    <w:rsid w:val="00D35E5D"/>
    <w:rsid w:val="00D36BF2"/>
    <w:rsid w:val="00D36E70"/>
    <w:rsid w:val="00D40A36"/>
    <w:rsid w:val="00D42696"/>
    <w:rsid w:val="00D42745"/>
    <w:rsid w:val="00D42BAB"/>
    <w:rsid w:val="00D4344D"/>
    <w:rsid w:val="00D43D1C"/>
    <w:rsid w:val="00D43E94"/>
    <w:rsid w:val="00D452E4"/>
    <w:rsid w:val="00D452F8"/>
    <w:rsid w:val="00D454C9"/>
    <w:rsid w:val="00D455D2"/>
    <w:rsid w:val="00D45CD0"/>
    <w:rsid w:val="00D463A5"/>
    <w:rsid w:val="00D46456"/>
    <w:rsid w:val="00D5119A"/>
    <w:rsid w:val="00D51E48"/>
    <w:rsid w:val="00D527E7"/>
    <w:rsid w:val="00D539E5"/>
    <w:rsid w:val="00D5425F"/>
    <w:rsid w:val="00D551FD"/>
    <w:rsid w:val="00D55665"/>
    <w:rsid w:val="00D5690C"/>
    <w:rsid w:val="00D572BE"/>
    <w:rsid w:val="00D579D5"/>
    <w:rsid w:val="00D60238"/>
    <w:rsid w:val="00D61933"/>
    <w:rsid w:val="00D61A06"/>
    <w:rsid w:val="00D648B4"/>
    <w:rsid w:val="00D658A4"/>
    <w:rsid w:val="00D65FB2"/>
    <w:rsid w:val="00D70180"/>
    <w:rsid w:val="00D72073"/>
    <w:rsid w:val="00D7255E"/>
    <w:rsid w:val="00D72852"/>
    <w:rsid w:val="00D72DA9"/>
    <w:rsid w:val="00D72E13"/>
    <w:rsid w:val="00D740A6"/>
    <w:rsid w:val="00D769D2"/>
    <w:rsid w:val="00D81BBC"/>
    <w:rsid w:val="00D81DFD"/>
    <w:rsid w:val="00D82453"/>
    <w:rsid w:val="00D838F5"/>
    <w:rsid w:val="00D83F7E"/>
    <w:rsid w:val="00D851CE"/>
    <w:rsid w:val="00D85A27"/>
    <w:rsid w:val="00D8613D"/>
    <w:rsid w:val="00D86438"/>
    <w:rsid w:val="00D86C2E"/>
    <w:rsid w:val="00D906FD"/>
    <w:rsid w:val="00D90CB8"/>
    <w:rsid w:val="00D90E3F"/>
    <w:rsid w:val="00D938C7"/>
    <w:rsid w:val="00D9525C"/>
    <w:rsid w:val="00D97724"/>
    <w:rsid w:val="00DA181C"/>
    <w:rsid w:val="00DA2C8B"/>
    <w:rsid w:val="00DA3B8B"/>
    <w:rsid w:val="00DA4CB5"/>
    <w:rsid w:val="00DA4CDE"/>
    <w:rsid w:val="00DA5527"/>
    <w:rsid w:val="00DA5B7B"/>
    <w:rsid w:val="00DA6120"/>
    <w:rsid w:val="00DA6304"/>
    <w:rsid w:val="00DA72F7"/>
    <w:rsid w:val="00DB0DDB"/>
    <w:rsid w:val="00DB1477"/>
    <w:rsid w:val="00DB1F44"/>
    <w:rsid w:val="00DB2BEF"/>
    <w:rsid w:val="00DB3D7D"/>
    <w:rsid w:val="00DB4B9B"/>
    <w:rsid w:val="00DB4C58"/>
    <w:rsid w:val="00DB6BB8"/>
    <w:rsid w:val="00DB7874"/>
    <w:rsid w:val="00DB7BE0"/>
    <w:rsid w:val="00DC057A"/>
    <w:rsid w:val="00DC14D9"/>
    <w:rsid w:val="00DC23CF"/>
    <w:rsid w:val="00DC3114"/>
    <w:rsid w:val="00DC4F8D"/>
    <w:rsid w:val="00DC55B4"/>
    <w:rsid w:val="00DC584E"/>
    <w:rsid w:val="00DC6BA8"/>
    <w:rsid w:val="00DC7DFE"/>
    <w:rsid w:val="00DD11C8"/>
    <w:rsid w:val="00DD1720"/>
    <w:rsid w:val="00DD2026"/>
    <w:rsid w:val="00DD2147"/>
    <w:rsid w:val="00DD226F"/>
    <w:rsid w:val="00DD3911"/>
    <w:rsid w:val="00DD4DDD"/>
    <w:rsid w:val="00DD52AE"/>
    <w:rsid w:val="00DD6D1A"/>
    <w:rsid w:val="00DD708D"/>
    <w:rsid w:val="00DD7095"/>
    <w:rsid w:val="00DD7AB0"/>
    <w:rsid w:val="00DD7C91"/>
    <w:rsid w:val="00DE017B"/>
    <w:rsid w:val="00DE0CC1"/>
    <w:rsid w:val="00DE10B1"/>
    <w:rsid w:val="00DE3AB2"/>
    <w:rsid w:val="00DE5749"/>
    <w:rsid w:val="00DE659A"/>
    <w:rsid w:val="00DF1547"/>
    <w:rsid w:val="00DF20B4"/>
    <w:rsid w:val="00DF50C5"/>
    <w:rsid w:val="00E00A38"/>
    <w:rsid w:val="00E00D9A"/>
    <w:rsid w:val="00E01833"/>
    <w:rsid w:val="00E018A7"/>
    <w:rsid w:val="00E019A8"/>
    <w:rsid w:val="00E04689"/>
    <w:rsid w:val="00E04BFE"/>
    <w:rsid w:val="00E05419"/>
    <w:rsid w:val="00E06046"/>
    <w:rsid w:val="00E0760C"/>
    <w:rsid w:val="00E07ED6"/>
    <w:rsid w:val="00E12E5E"/>
    <w:rsid w:val="00E12E6B"/>
    <w:rsid w:val="00E14270"/>
    <w:rsid w:val="00E15E38"/>
    <w:rsid w:val="00E16591"/>
    <w:rsid w:val="00E16605"/>
    <w:rsid w:val="00E167E7"/>
    <w:rsid w:val="00E16864"/>
    <w:rsid w:val="00E174E7"/>
    <w:rsid w:val="00E17CF9"/>
    <w:rsid w:val="00E20515"/>
    <w:rsid w:val="00E20C9E"/>
    <w:rsid w:val="00E21B67"/>
    <w:rsid w:val="00E22615"/>
    <w:rsid w:val="00E22A66"/>
    <w:rsid w:val="00E23CC7"/>
    <w:rsid w:val="00E23DFB"/>
    <w:rsid w:val="00E250FC"/>
    <w:rsid w:val="00E26A52"/>
    <w:rsid w:val="00E27501"/>
    <w:rsid w:val="00E27C7D"/>
    <w:rsid w:val="00E32262"/>
    <w:rsid w:val="00E326EB"/>
    <w:rsid w:val="00E32D3A"/>
    <w:rsid w:val="00E32E16"/>
    <w:rsid w:val="00E32EA7"/>
    <w:rsid w:val="00E33155"/>
    <w:rsid w:val="00E33777"/>
    <w:rsid w:val="00E35CF1"/>
    <w:rsid w:val="00E3637B"/>
    <w:rsid w:val="00E36CF5"/>
    <w:rsid w:val="00E408C4"/>
    <w:rsid w:val="00E41041"/>
    <w:rsid w:val="00E414C8"/>
    <w:rsid w:val="00E414D5"/>
    <w:rsid w:val="00E41814"/>
    <w:rsid w:val="00E424A7"/>
    <w:rsid w:val="00E4293D"/>
    <w:rsid w:val="00E43046"/>
    <w:rsid w:val="00E44023"/>
    <w:rsid w:val="00E440B0"/>
    <w:rsid w:val="00E46020"/>
    <w:rsid w:val="00E468A3"/>
    <w:rsid w:val="00E501FE"/>
    <w:rsid w:val="00E50EBE"/>
    <w:rsid w:val="00E5145A"/>
    <w:rsid w:val="00E516BB"/>
    <w:rsid w:val="00E518D9"/>
    <w:rsid w:val="00E51BEB"/>
    <w:rsid w:val="00E51F22"/>
    <w:rsid w:val="00E52150"/>
    <w:rsid w:val="00E54276"/>
    <w:rsid w:val="00E55018"/>
    <w:rsid w:val="00E559DC"/>
    <w:rsid w:val="00E5619F"/>
    <w:rsid w:val="00E57DC5"/>
    <w:rsid w:val="00E61937"/>
    <w:rsid w:val="00E62BC9"/>
    <w:rsid w:val="00E62CEA"/>
    <w:rsid w:val="00E63549"/>
    <w:rsid w:val="00E643E5"/>
    <w:rsid w:val="00E64967"/>
    <w:rsid w:val="00E654E3"/>
    <w:rsid w:val="00E66DD5"/>
    <w:rsid w:val="00E674D0"/>
    <w:rsid w:val="00E70610"/>
    <w:rsid w:val="00E70796"/>
    <w:rsid w:val="00E70AA2"/>
    <w:rsid w:val="00E72B88"/>
    <w:rsid w:val="00E72F4E"/>
    <w:rsid w:val="00E74FA8"/>
    <w:rsid w:val="00E756FF"/>
    <w:rsid w:val="00E7734A"/>
    <w:rsid w:val="00E7737B"/>
    <w:rsid w:val="00E80ABD"/>
    <w:rsid w:val="00E81F08"/>
    <w:rsid w:val="00E82A95"/>
    <w:rsid w:val="00E83026"/>
    <w:rsid w:val="00E830DB"/>
    <w:rsid w:val="00E835AD"/>
    <w:rsid w:val="00E84310"/>
    <w:rsid w:val="00E852B7"/>
    <w:rsid w:val="00E859CC"/>
    <w:rsid w:val="00E85B61"/>
    <w:rsid w:val="00E87985"/>
    <w:rsid w:val="00E901C3"/>
    <w:rsid w:val="00E90E23"/>
    <w:rsid w:val="00E91B61"/>
    <w:rsid w:val="00E947CF"/>
    <w:rsid w:val="00E953DF"/>
    <w:rsid w:val="00E95713"/>
    <w:rsid w:val="00E959F1"/>
    <w:rsid w:val="00EA0EB0"/>
    <w:rsid w:val="00EA1760"/>
    <w:rsid w:val="00EA17A1"/>
    <w:rsid w:val="00EA1ED0"/>
    <w:rsid w:val="00EA3598"/>
    <w:rsid w:val="00EA3CC8"/>
    <w:rsid w:val="00EA4F21"/>
    <w:rsid w:val="00EA4FED"/>
    <w:rsid w:val="00EA7FCC"/>
    <w:rsid w:val="00EB2423"/>
    <w:rsid w:val="00EB3314"/>
    <w:rsid w:val="00EB43EB"/>
    <w:rsid w:val="00EB465E"/>
    <w:rsid w:val="00EB48F8"/>
    <w:rsid w:val="00EB5363"/>
    <w:rsid w:val="00EB689C"/>
    <w:rsid w:val="00EC220C"/>
    <w:rsid w:val="00EC2612"/>
    <w:rsid w:val="00EC33B4"/>
    <w:rsid w:val="00EC4504"/>
    <w:rsid w:val="00EC5138"/>
    <w:rsid w:val="00EC5D85"/>
    <w:rsid w:val="00EC5DAB"/>
    <w:rsid w:val="00EC6ABA"/>
    <w:rsid w:val="00EC7661"/>
    <w:rsid w:val="00EC7725"/>
    <w:rsid w:val="00ED0BFD"/>
    <w:rsid w:val="00ED1E14"/>
    <w:rsid w:val="00ED1F0F"/>
    <w:rsid w:val="00ED23A2"/>
    <w:rsid w:val="00ED3DC2"/>
    <w:rsid w:val="00ED4970"/>
    <w:rsid w:val="00ED5B03"/>
    <w:rsid w:val="00ED5EAD"/>
    <w:rsid w:val="00ED5FC9"/>
    <w:rsid w:val="00ED6748"/>
    <w:rsid w:val="00EE0597"/>
    <w:rsid w:val="00EE28E5"/>
    <w:rsid w:val="00EE34E0"/>
    <w:rsid w:val="00EE467D"/>
    <w:rsid w:val="00EE4AFC"/>
    <w:rsid w:val="00EE511B"/>
    <w:rsid w:val="00EE5434"/>
    <w:rsid w:val="00EE58D1"/>
    <w:rsid w:val="00EE5DE0"/>
    <w:rsid w:val="00EE6A12"/>
    <w:rsid w:val="00EE7BA4"/>
    <w:rsid w:val="00EF0DDC"/>
    <w:rsid w:val="00EF0FAD"/>
    <w:rsid w:val="00EF16C6"/>
    <w:rsid w:val="00EF549E"/>
    <w:rsid w:val="00EF5A01"/>
    <w:rsid w:val="00EF5C91"/>
    <w:rsid w:val="00EF69C4"/>
    <w:rsid w:val="00EF6FC3"/>
    <w:rsid w:val="00EF75F2"/>
    <w:rsid w:val="00F0159E"/>
    <w:rsid w:val="00F01B98"/>
    <w:rsid w:val="00F02FCF"/>
    <w:rsid w:val="00F04366"/>
    <w:rsid w:val="00F04394"/>
    <w:rsid w:val="00F047A1"/>
    <w:rsid w:val="00F0590A"/>
    <w:rsid w:val="00F05CD9"/>
    <w:rsid w:val="00F05DCF"/>
    <w:rsid w:val="00F05F10"/>
    <w:rsid w:val="00F06594"/>
    <w:rsid w:val="00F06859"/>
    <w:rsid w:val="00F07534"/>
    <w:rsid w:val="00F104A2"/>
    <w:rsid w:val="00F107BA"/>
    <w:rsid w:val="00F12E0D"/>
    <w:rsid w:val="00F1398A"/>
    <w:rsid w:val="00F144F3"/>
    <w:rsid w:val="00F14F3D"/>
    <w:rsid w:val="00F14FFF"/>
    <w:rsid w:val="00F151CC"/>
    <w:rsid w:val="00F15F06"/>
    <w:rsid w:val="00F164EF"/>
    <w:rsid w:val="00F16E81"/>
    <w:rsid w:val="00F20694"/>
    <w:rsid w:val="00F20BDE"/>
    <w:rsid w:val="00F210AE"/>
    <w:rsid w:val="00F2188A"/>
    <w:rsid w:val="00F22447"/>
    <w:rsid w:val="00F22907"/>
    <w:rsid w:val="00F233B1"/>
    <w:rsid w:val="00F23F2A"/>
    <w:rsid w:val="00F24B83"/>
    <w:rsid w:val="00F24BDD"/>
    <w:rsid w:val="00F24D74"/>
    <w:rsid w:val="00F24DBF"/>
    <w:rsid w:val="00F24E0B"/>
    <w:rsid w:val="00F253F0"/>
    <w:rsid w:val="00F25453"/>
    <w:rsid w:val="00F26329"/>
    <w:rsid w:val="00F2753B"/>
    <w:rsid w:val="00F308C4"/>
    <w:rsid w:val="00F30DF4"/>
    <w:rsid w:val="00F31403"/>
    <w:rsid w:val="00F31658"/>
    <w:rsid w:val="00F331F9"/>
    <w:rsid w:val="00F3498A"/>
    <w:rsid w:val="00F34E3E"/>
    <w:rsid w:val="00F351F8"/>
    <w:rsid w:val="00F35572"/>
    <w:rsid w:val="00F35661"/>
    <w:rsid w:val="00F368EE"/>
    <w:rsid w:val="00F36CD1"/>
    <w:rsid w:val="00F3722F"/>
    <w:rsid w:val="00F37577"/>
    <w:rsid w:val="00F379C6"/>
    <w:rsid w:val="00F4019A"/>
    <w:rsid w:val="00F40E64"/>
    <w:rsid w:val="00F42FCB"/>
    <w:rsid w:val="00F433DE"/>
    <w:rsid w:val="00F44C4F"/>
    <w:rsid w:val="00F45190"/>
    <w:rsid w:val="00F4521F"/>
    <w:rsid w:val="00F4767A"/>
    <w:rsid w:val="00F47F99"/>
    <w:rsid w:val="00F507AA"/>
    <w:rsid w:val="00F5088F"/>
    <w:rsid w:val="00F514A5"/>
    <w:rsid w:val="00F5199B"/>
    <w:rsid w:val="00F52A68"/>
    <w:rsid w:val="00F532F9"/>
    <w:rsid w:val="00F56653"/>
    <w:rsid w:val="00F57C53"/>
    <w:rsid w:val="00F600B6"/>
    <w:rsid w:val="00F601CF"/>
    <w:rsid w:val="00F602E4"/>
    <w:rsid w:val="00F6137B"/>
    <w:rsid w:val="00F63AA1"/>
    <w:rsid w:val="00F656EE"/>
    <w:rsid w:val="00F661C7"/>
    <w:rsid w:val="00F673EC"/>
    <w:rsid w:val="00F70431"/>
    <w:rsid w:val="00F71ED1"/>
    <w:rsid w:val="00F72C25"/>
    <w:rsid w:val="00F7586C"/>
    <w:rsid w:val="00F764CD"/>
    <w:rsid w:val="00F76869"/>
    <w:rsid w:val="00F77025"/>
    <w:rsid w:val="00F77C92"/>
    <w:rsid w:val="00F80DBD"/>
    <w:rsid w:val="00F82590"/>
    <w:rsid w:val="00F834EE"/>
    <w:rsid w:val="00F84EF5"/>
    <w:rsid w:val="00F91A6D"/>
    <w:rsid w:val="00F91B85"/>
    <w:rsid w:val="00F920D8"/>
    <w:rsid w:val="00F92134"/>
    <w:rsid w:val="00F93290"/>
    <w:rsid w:val="00F94211"/>
    <w:rsid w:val="00F94AF2"/>
    <w:rsid w:val="00F95797"/>
    <w:rsid w:val="00F95C0E"/>
    <w:rsid w:val="00F96432"/>
    <w:rsid w:val="00F977DE"/>
    <w:rsid w:val="00FA05D8"/>
    <w:rsid w:val="00FA10E5"/>
    <w:rsid w:val="00FA1A59"/>
    <w:rsid w:val="00FA30D2"/>
    <w:rsid w:val="00FA3E8B"/>
    <w:rsid w:val="00FA78F5"/>
    <w:rsid w:val="00FB08F7"/>
    <w:rsid w:val="00FB17C1"/>
    <w:rsid w:val="00FB25A1"/>
    <w:rsid w:val="00FB357A"/>
    <w:rsid w:val="00FB3938"/>
    <w:rsid w:val="00FB553E"/>
    <w:rsid w:val="00FC22AE"/>
    <w:rsid w:val="00FC3735"/>
    <w:rsid w:val="00FC5998"/>
    <w:rsid w:val="00FC5AC7"/>
    <w:rsid w:val="00FC5BBC"/>
    <w:rsid w:val="00FD11EF"/>
    <w:rsid w:val="00FD1995"/>
    <w:rsid w:val="00FD3CCA"/>
    <w:rsid w:val="00FD43BB"/>
    <w:rsid w:val="00FD45A5"/>
    <w:rsid w:val="00FD56A4"/>
    <w:rsid w:val="00FD5BC1"/>
    <w:rsid w:val="00FD5C19"/>
    <w:rsid w:val="00FD72AF"/>
    <w:rsid w:val="00FD7920"/>
    <w:rsid w:val="00FD796A"/>
    <w:rsid w:val="00FD7D76"/>
    <w:rsid w:val="00FE06D8"/>
    <w:rsid w:val="00FE1312"/>
    <w:rsid w:val="00FE2DE3"/>
    <w:rsid w:val="00FE3010"/>
    <w:rsid w:val="00FE3AA4"/>
    <w:rsid w:val="00FE3C5D"/>
    <w:rsid w:val="00FE5622"/>
    <w:rsid w:val="00FE5E9C"/>
    <w:rsid w:val="00FE631A"/>
    <w:rsid w:val="00FE6756"/>
    <w:rsid w:val="00FE712E"/>
    <w:rsid w:val="00FE72BE"/>
    <w:rsid w:val="00FE7BFA"/>
    <w:rsid w:val="00FF0156"/>
    <w:rsid w:val="00FF2232"/>
    <w:rsid w:val="00FF23D6"/>
    <w:rsid w:val="00FF27E4"/>
    <w:rsid w:val="00FF2F9E"/>
    <w:rsid w:val="00FF3612"/>
    <w:rsid w:val="00FF37B7"/>
    <w:rsid w:val="00FF3B40"/>
    <w:rsid w:val="00FF4BAF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2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F2232"/>
  </w:style>
  <w:style w:type="character" w:styleId="Hyperlink">
    <w:name w:val="Hyperlink"/>
    <w:basedOn w:val="DefaultParagraphFont"/>
    <w:rsid w:val="00FF22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4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D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D4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"/>
    <w:basedOn w:val="Normal"/>
    <w:rsid w:val="00446F4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5C07F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0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F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F03"/>
    <w:rPr>
      <w:b/>
      <w:bCs/>
    </w:rPr>
  </w:style>
  <w:style w:type="table" w:styleId="TableGrid">
    <w:name w:val="Table Grid"/>
    <w:basedOn w:val="TableNormal"/>
    <w:uiPriority w:val="59"/>
    <w:rsid w:val="00E64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propisa1a2">
    <w:name w:val="naslovpropisa1a2"/>
    <w:basedOn w:val="DefaultParagraphFont"/>
    <w:rsid w:val="00BA60BC"/>
    <w:rPr>
      <w:rFonts w:ascii="Arial" w:hAnsi="Arial" w:cs="Arial" w:hint="default"/>
      <w:b/>
      <w:bCs/>
      <w:vanish w:val="0"/>
      <w:webHidden w:val="0"/>
      <w:color w:val="FFFFFF"/>
      <w:sz w:val="22"/>
      <w:szCs w:val="22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rnjimilanovac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CC8C-E79F-4A03-A43F-914CE81A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19</Pages>
  <Words>7302</Words>
  <Characters>41627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Opštinska uprava G.Milanovac</Company>
  <LinksUpToDate>false</LinksUpToDate>
  <CharactersWithSpaces>48832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tomislav.joksic</dc:creator>
  <cp:lastModifiedBy>aleksandra.milosevic</cp:lastModifiedBy>
  <cp:revision>29</cp:revision>
  <cp:lastPrinted>2020-07-31T09:22:00Z</cp:lastPrinted>
  <dcterms:created xsi:type="dcterms:W3CDTF">2021-07-28T08:52:00Z</dcterms:created>
  <dcterms:modified xsi:type="dcterms:W3CDTF">2021-08-02T07:42:00Z</dcterms:modified>
</cp:coreProperties>
</file>