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64" w:rsidRDefault="00EA081B" w:rsidP="00EA081B">
      <w:pPr>
        <w:pStyle w:val="NoSpacing"/>
        <w:jc w:val="center"/>
        <w:rPr>
          <w:rFonts w:ascii="Times New Roman" w:hAnsi="Times New Roman" w:cs="Times New Roman"/>
          <w:b/>
          <w:sz w:val="24"/>
          <w:szCs w:val="24"/>
          <w:lang w:val="sr-Cyrl-RS"/>
        </w:rPr>
      </w:pPr>
      <w:r w:rsidRPr="00EA081B">
        <w:rPr>
          <w:rFonts w:ascii="Times New Roman" w:hAnsi="Times New Roman" w:cs="Times New Roman"/>
          <w:b/>
          <w:sz w:val="24"/>
          <w:szCs w:val="24"/>
          <w:lang w:val="sr-Cyrl-RS"/>
        </w:rPr>
        <w:t>УСАГЛАШЕНА ПРЕЛИМИНАРН</w:t>
      </w:r>
      <w:r w:rsidR="00BC1D8F">
        <w:rPr>
          <w:rFonts w:ascii="Times New Roman" w:hAnsi="Times New Roman" w:cs="Times New Roman"/>
          <w:b/>
          <w:sz w:val="24"/>
          <w:szCs w:val="24"/>
          <w:lang w:val="sr-Cyrl-RS"/>
        </w:rPr>
        <w:t>А</w:t>
      </w:r>
      <w:r w:rsidRPr="00EA081B">
        <w:rPr>
          <w:rFonts w:ascii="Times New Roman" w:hAnsi="Times New Roman" w:cs="Times New Roman"/>
          <w:b/>
          <w:sz w:val="24"/>
          <w:szCs w:val="24"/>
          <w:lang w:val="sr-Cyrl-RS"/>
        </w:rPr>
        <w:t xml:space="preserve"> ЛИСТЕ ВРЕДНОВАЊА И РАНГИРАЊА</w:t>
      </w:r>
    </w:p>
    <w:p w:rsidR="00EA081B" w:rsidRDefault="00EA081B" w:rsidP="00EA081B">
      <w:pPr>
        <w:pStyle w:val="NoSpacing"/>
        <w:jc w:val="center"/>
        <w:rPr>
          <w:rFonts w:ascii="Times New Roman" w:hAnsi="Times New Roman" w:cs="Times New Roman"/>
          <w:b/>
          <w:sz w:val="24"/>
          <w:szCs w:val="24"/>
          <w:lang w:val="sr-Cyrl-RS"/>
        </w:rPr>
      </w:pPr>
      <w:r w:rsidRPr="00EA081B">
        <w:rPr>
          <w:rFonts w:ascii="Times New Roman" w:hAnsi="Times New Roman" w:cs="Times New Roman"/>
          <w:b/>
          <w:sz w:val="24"/>
          <w:szCs w:val="24"/>
          <w:lang w:val="sr-Cyrl-RS"/>
        </w:rPr>
        <w:t>ПРОГРАМА</w:t>
      </w:r>
      <w:r>
        <w:rPr>
          <w:rFonts w:ascii="Times New Roman" w:hAnsi="Times New Roman" w:cs="Times New Roman"/>
          <w:b/>
          <w:sz w:val="24"/>
          <w:szCs w:val="24"/>
          <w:lang w:val="sr-Cyrl-RS"/>
        </w:rPr>
        <w:t xml:space="preserve"> </w:t>
      </w:r>
      <w:r w:rsidR="007D3F64">
        <w:rPr>
          <w:rFonts w:ascii="Times New Roman" w:hAnsi="Times New Roman" w:cs="Times New Roman"/>
          <w:b/>
          <w:sz w:val="24"/>
          <w:szCs w:val="24"/>
          <w:lang w:val="sr-Cyrl-RS"/>
        </w:rPr>
        <w:t>ЦРКАВА И ВЕРСКИХ ЗАЈЕДНИЦА</w:t>
      </w:r>
    </w:p>
    <w:p w:rsidR="00EA081B" w:rsidRPr="00EA081B" w:rsidRDefault="00EA081B" w:rsidP="00EA081B">
      <w:pPr>
        <w:pStyle w:val="NoSpacing"/>
        <w:jc w:val="center"/>
        <w:rPr>
          <w:rFonts w:ascii="Times New Roman" w:hAnsi="Times New Roman" w:cs="Times New Roman"/>
          <w:b/>
          <w:sz w:val="24"/>
          <w:szCs w:val="24"/>
          <w:lang w:val="sr-Cyrl-RS"/>
        </w:rPr>
      </w:pPr>
    </w:p>
    <w:p w:rsidR="00751D25" w:rsidRDefault="00751D25" w:rsidP="00751D25">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Комисија своју оцену, усаглашену на основу појединачних оцена које је сваки члан Комисије извршио појединачно исказује кроз следећу табелу:</w:t>
      </w:r>
    </w:p>
    <w:tbl>
      <w:tblPr>
        <w:tblStyle w:val="GridTable5Dark-Accent1"/>
        <w:tblW w:w="5000" w:type="pct"/>
        <w:tblLook w:val="04A0" w:firstRow="1" w:lastRow="0" w:firstColumn="1" w:lastColumn="0" w:noHBand="0" w:noVBand="1"/>
      </w:tblPr>
      <w:tblGrid>
        <w:gridCol w:w="515"/>
        <w:gridCol w:w="1957"/>
        <w:gridCol w:w="655"/>
        <w:gridCol w:w="3390"/>
        <w:gridCol w:w="1175"/>
        <w:gridCol w:w="951"/>
        <w:gridCol w:w="1392"/>
        <w:gridCol w:w="3914"/>
      </w:tblGrid>
      <w:tr w:rsidR="00751D25" w:rsidTr="00751D25">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85" w:type="pct"/>
            <w:hideMark/>
          </w:tcPr>
          <w:p w:rsidR="00751D25" w:rsidRDefault="00751D25">
            <w:pPr>
              <w:spacing w:line="240" w:lineRule="auto"/>
              <w:rPr>
                <w:rFonts w:ascii="Times New Roman" w:eastAsia="Times New Roman" w:hAnsi="Times New Roman" w:cs="Times New Roman"/>
                <w:color w:val="000000" w:themeColor="text1"/>
                <w:sz w:val="20"/>
                <w:szCs w:val="20"/>
                <w:lang w:val="sr-Cyrl-RS"/>
              </w:rPr>
            </w:pPr>
            <w:r>
              <w:rPr>
                <w:rFonts w:ascii="Times New Roman" w:eastAsia="Times New Roman" w:hAnsi="Times New Roman" w:cs="Times New Roman"/>
                <w:color w:val="000000" w:themeColor="text1"/>
                <w:sz w:val="20"/>
                <w:szCs w:val="20"/>
              </w:rPr>
              <w:t>Р</w:t>
            </w:r>
            <w:r>
              <w:rPr>
                <w:rFonts w:ascii="Times New Roman" w:eastAsia="Times New Roman" w:hAnsi="Times New Roman" w:cs="Times New Roman"/>
                <w:color w:val="000000" w:themeColor="text1"/>
                <w:sz w:val="20"/>
                <w:szCs w:val="20"/>
                <w:lang w:val="sr-Cyrl-RS"/>
              </w:rPr>
              <w:t>.б</w:t>
            </w:r>
          </w:p>
        </w:tc>
        <w:tc>
          <w:tcPr>
            <w:tcW w:w="702" w:type="pct"/>
            <w:hideMark/>
          </w:tcPr>
          <w:p w:rsidR="00751D25" w:rsidRDefault="00751D2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Назив подносиоца</w:t>
            </w:r>
          </w:p>
        </w:tc>
        <w:tc>
          <w:tcPr>
            <w:tcW w:w="233" w:type="pct"/>
            <w:hideMark/>
          </w:tcPr>
          <w:p w:rsidR="00751D25" w:rsidRDefault="00751D2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val="sr-Cyrl-RS"/>
              </w:rPr>
            </w:pPr>
            <w:r>
              <w:rPr>
                <w:rFonts w:ascii="Times New Roman" w:eastAsia="Times New Roman" w:hAnsi="Times New Roman" w:cs="Times New Roman"/>
                <w:color w:val="000000" w:themeColor="text1"/>
                <w:sz w:val="20"/>
                <w:szCs w:val="20"/>
              </w:rPr>
              <w:t xml:space="preserve">Број </w:t>
            </w:r>
            <w:r>
              <w:rPr>
                <w:rFonts w:ascii="Times New Roman" w:eastAsia="Times New Roman" w:hAnsi="Times New Roman" w:cs="Times New Roman"/>
                <w:color w:val="000000" w:themeColor="text1"/>
                <w:sz w:val="20"/>
                <w:szCs w:val="20"/>
                <w:lang w:val="sr-Cyrl-RS"/>
              </w:rPr>
              <w:t>ИДК</w:t>
            </w:r>
          </w:p>
        </w:tc>
        <w:tc>
          <w:tcPr>
            <w:tcW w:w="1215" w:type="pct"/>
            <w:hideMark/>
          </w:tcPr>
          <w:p w:rsidR="00751D25" w:rsidRDefault="00751D2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Назив пројекта</w:t>
            </w:r>
          </w:p>
        </w:tc>
        <w:tc>
          <w:tcPr>
            <w:tcW w:w="421" w:type="pct"/>
            <w:hideMark/>
          </w:tcPr>
          <w:p w:rsidR="00751D25" w:rsidRDefault="00751D2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val="sr-Cyrl-RS"/>
              </w:rPr>
            </w:pPr>
            <w:r>
              <w:rPr>
                <w:rFonts w:ascii="Times New Roman" w:eastAsia="Times New Roman" w:hAnsi="Times New Roman" w:cs="Times New Roman"/>
                <w:color w:val="000000" w:themeColor="text1"/>
                <w:sz w:val="20"/>
                <w:szCs w:val="20"/>
                <w:lang w:val="sr-Cyrl-RS"/>
              </w:rPr>
              <w:t>Тражена средства</w:t>
            </w:r>
          </w:p>
        </w:tc>
        <w:tc>
          <w:tcPr>
            <w:tcW w:w="341" w:type="pct"/>
            <w:hideMark/>
          </w:tcPr>
          <w:p w:rsidR="00751D25" w:rsidRDefault="00751D2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val="sr-Cyrl-RS"/>
              </w:rPr>
            </w:pPr>
            <w:r>
              <w:rPr>
                <w:rFonts w:ascii="Times New Roman" w:eastAsia="Times New Roman" w:hAnsi="Times New Roman" w:cs="Times New Roman"/>
                <w:color w:val="000000" w:themeColor="text1"/>
                <w:sz w:val="20"/>
                <w:szCs w:val="20"/>
                <w:lang w:val="sr-Cyrl-RS"/>
              </w:rPr>
              <w:t>Бодови</w:t>
            </w:r>
          </w:p>
        </w:tc>
        <w:tc>
          <w:tcPr>
            <w:tcW w:w="499" w:type="pct"/>
            <w:hideMark/>
          </w:tcPr>
          <w:p w:rsidR="00751D25" w:rsidRDefault="00751D2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val="sr-Cyrl-RS"/>
              </w:rPr>
            </w:pPr>
            <w:r>
              <w:rPr>
                <w:rFonts w:ascii="Times New Roman" w:eastAsia="Times New Roman" w:hAnsi="Times New Roman" w:cs="Times New Roman"/>
                <w:color w:val="000000" w:themeColor="text1"/>
                <w:sz w:val="20"/>
                <w:szCs w:val="20"/>
                <w:lang w:val="sr-Cyrl-RS"/>
              </w:rPr>
              <w:t>Предложена средства</w:t>
            </w:r>
          </w:p>
        </w:tc>
        <w:tc>
          <w:tcPr>
            <w:tcW w:w="1403" w:type="pct"/>
            <w:hideMark/>
          </w:tcPr>
          <w:p w:rsidR="00751D25" w:rsidRDefault="00751D2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val="sr-Cyrl-RS"/>
              </w:rPr>
            </w:pPr>
            <w:r>
              <w:rPr>
                <w:rFonts w:ascii="Times New Roman" w:eastAsia="Times New Roman" w:hAnsi="Times New Roman" w:cs="Times New Roman"/>
                <w:color w:val="000000" w:themeColor="text1"/>
                <w:sz w:val="20"/>
                <w:szCs w:val="20"/>
                <w:lang w:val="sr-Cyrl-RS"/>
              </w:rPr>
              <w:t>Напомена</w:t>
            </w:r>
          </w:p>
        </w:tc>
      </w:tr>
      <w:tr w:rsidR="00751D25" w:rsidTr="00751D25">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85" w:type="pct"/>
            <w:hideMark/>
          </w:tcPr>
          <w:p w:rsidR="00751D25" w:rsidRDefault="00751D25">
            <w:pPr>
              <w:spacing w:line="240" w:lineRule="auto"/>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1</w:t>
            </w:r>
          </w:p>
        </w:tc>
        <w:tc>
          <w:tcPr>
            <w:tcW w:w="702"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rPr>
              <w:t xml:space="preserve">Српска православна црквена Општина </w:t>
            </w:r>
            <w:r>
              <w:rPr>
                <w:rFonts w:ascii="Times New Roman" w:eastAsia="Times New Roman" w:hAnsi="Times New Roman" w:cs="Times New Roman"/>
                <w:bCs/>
                <w:color w:val="000000"/>
                <w:sz w:val="20"/>
                <w:szCs w:val="20"/>
                <w:lang w:val="sr-Cyrl-RS"/>
              </w:rPr>
              <w:t>Љутовница</w:t>
            </w:r>
          </w:p>
        </w:tc>
        <w:tc>
          <w:tcPr>
            <w:tcW w:w="233"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821</w:t>
            </w:r>
          </w:p>
        </w:tc>
        <w:tc>
          <w:tcPr>
            <w:tcW w:w="1215"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Деца дијаспоре у посети - санација Виле Сарачевић, ктитира Цркве Св. Николе у Шилопају са којом под заштитом Завода за заштиту споменика културе у Краљеву</w:t>
            </w:r>
          </w:p>
        </w:tc>
        <w:tc>
          <w:tcPr>
            <w:tcW w:w="421"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4.500.000</w:t>
            </w:r>
          </w:p>
        </w:tc>
        <w:tc>
          <w:tcPr>
            <w:tcW w:w="341"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lang w:val="sr-Cyrl-RS"/>
              </w:rPr>
            </w:pPr>
            <w:r>
              <w:rPr>
                <w:color w:val="000000"/>
                <w:sz w:val="20"/>
                <w:szCs w:val="20"/>
                <w:lang w:val="sr-Cyrl-RS"/>
              </w:rPr>
              <w:t>0</w:t>
            </w:r>
          </w:p>
        </w:tc>
        <w:tc>
          <w:tcPr>
            <w:tcW w:w="499"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0</w:t>
            </w:r>
          </w:p>
        </w:tc>
        <w:tc>
          <w:tcPr>
            <w:tcW w:w="1403" w:type="pct"/>
            <w:hideMark/>
          </w:tcPr>
          <w:p w:rsidR="00751D25" w:rsidRDefault="00751D2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Црква Св. Николе у Шилопају, заједно са свештеничком кућом и Вилом породице Сарачевић, који су ктитори храма, ужива претходну заштиту Завода за заштиту споменика културе Краљево. Како су приватни власници који су у посед виле дошли кроз поступак реституције поклонили објекат СПЦО Враћевшница, ова црквена општина је подела предлог пројекта за санацију Виле како би њен простор био коришћен за окупљања младих из земље и српске дијаспоре у духу традиције и православне вере. Пројекат у старту својим захтевом премашује Конкурсом опредељена средства, услед чега Комисија не предлаже подршку јер би у оквиру могућности буџета била занемарљива.</w:t>
            </w:r>
          </w:p>
        </w:tc>
      </w:tr>
      <w:tr w:rsidR="00751D25" w:rsidTr="00751D25">
        <w:trPr>
          <w:trHeight w:val="560"/>
        </w:trPr>
        <w:tc>
          <w:tcPr>
            <w:cnfStyle w:val="001000000000" w:firstRow="0" w:lastRow="0" w:firstColumn="1" w:lastColumn="0" w:oddVBand="0" w:evenVBand="0" w:oddHBand="0" w:evenHBand="0" w:firstRowFirstColumn="0" w:firstRowLastColumn="0" w:lastRowFirstColumn="0" w:lastRowLastColumn="0"/>
            <w:tcW w:w="185" w:type="pct"/>
            <w:hideMark/>
          </w:tcPr>
          <w:p w:rsidR="00751D25" w:rsidRDefault="00751D25">
            <w:pPr>
              <w:spacing w:line="240" w:lineRule="auto"/>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2</w:t>
            </w:r>
          </w:p>
        </w:tc>
        <w:tc>
          <w:tcPr>
            <w:tcW w:w="702" w:type="pct"/>
            <w:hideMark/>
          </w:tcPr>
          <w:p w:rsidR="00751D25" w:rsidRDefault="00751D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rPr>
              <w:t xml:space="preserve">Српска православна црквена Општина </w:t>
            </w:r>
            <w:r>
              <w:rPr>
                <w:rFonts w:ascii="Times New Roman" w:eastAsia="Times New Roman" w:hAnsi="Times New Roman" w:cs="Times New Roman"/>
                <w:bCs/>
                <w:color w:val="000000"/>
                <w:sz w:val="20"/>
                <w:szCs w:val="20"/>
                <w:lang w:val="sr-Cyrl-RS"/>
              </w:rPr>
              <w:t>Брђанско-Прислоничка</w:t>
            </w:r>
          </w:p>
        </w:tc>
        <w:tc>
          <w:tcPr>
            <w:tcW w:w="233" w:type="pct"/>
            <w:hideMark/>
          </w:tcPr>
          <w:p w:rsidR="00751D25" w:rsidRDefault="00751D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837</w:t>
            </w:r>
          </w:p>
        </w:tc>
        <w:tc>
          <w:tcPr>
            <w:tcW w:w="1215" w:type="pct"/>
            <w:hideMark/>
          </w:tcPr>
          <w:p w:rsidR="00751D25" w:rsidRDefault="00751D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Изградња парохијског дома</w:t>
            </w:r>
          </w:p>
        </w:tc>
        <w:tc>
          <w:tcPr>
            <w:tcW w:w="421" w:type="pct"/>
            <w:hideMark/>
          </w:tcPr>
          <w:p w:rsidR="00751D25" w:rsidRDefault="00751D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200.000</w:t>
            </w:r>
          </w:p>
        </w:tc>
        <w:tc>
          <w:tcPr>
            <w:tcW w:w="341" w:type="pct"/>
            <w:hideMark/>
          </w:tcPr>
          <w:p w:rsidR="00751D25" w:rsidRDefault="00751D25">
            <w:pPr>
              <w:spacing w:line="240" w:lineRule="auto"/>
              <w:cnfStyle w:val="000000000000" w:firstRow="0" w:lastRow="0" w:firstColumn="0" w:lastColumn="0" w:oddVBand="0" w:evenVBand="0" w:oddHBand="0" w:evenHBand="0" w:firstRowFirstColumn="0" w:firstRowLastColumn="0" w:lastRowFirstColumn="0" w:lastRowLastColumn="0"/>
              <w:rPr>
                <w:color w:val="000000"/>
                <w:sz w:val="20"/>
                <w:szCs w:val="20"/>
                <w:lang w:val="sr-Cyrl-RS"/>
              </w:rPr>
            </w:pPr>
            <w:r>
              <w:rPr>
                <w:color w:val="000000"/>
                <w:sz w:val="20"/>
                <w:szCs w:val="20"/>
                <w:lang w:val="sr-Cyrl-RS"/>
              </w:rPr>
              <w:t>100</w:t>
            </w:r>
          </w:p>
        </w:tc>
        <w:tc>
          <w:tcPr>
            <w:tcW w:w="499" w:type="pct"/>
            <w:hideMark/>
          </w:tcPr>
          <w:p w:rsidR="00751D25" w:rsidRDefault="00751D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200.000</w:t>
            </w:r>
          </w:p>
        </w:tc>
        <w:tc>
          <w:tcPr>
            <w:tcW w:w="1403" w:type="pct"/>
            <w:hideMark/>
          </w:tcPr>
          <w:p w:rsidR="00751D25" w:rsidRDefault="00751D2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Latn-RS"/>
              </w:rPr>
            </w:pPr>
            <w:r>
              <w:rPr>
                <w:rFonts w:ascii="Times New Roman" w:eastAsia="Times New Roman" w:hAnsi="Times New Roman" w:cs="Times New Roman"/>
                <w:bCs/>
                <w:color w:val="000000"/>
                <w:sz w:val="20"/>
                <w:szCs w:val="20"/>
                <w:lang w:val="sr-Cyrl-RS"/>
              </w:rPr>
              <w:t>Пројекат се односи на израду пројектне документације за изградњу новог објекта – парохојског дома Цркве</w:t>
            </w:r>
            <w:r>
              <w:rPr>
                <w:rFonts w:ascii="Times New Roman" w:eastAsia="Times New Roman" w:hAnsi="Times New Roman" w:cs="Times New Roman"/>
                <w:bCs/>
                <w:color w:val="000000"/>
                <w:sz w:val="20"/>
                <w:szCs w:val="20"/>
                <w:lang w:val="sr-Latn-RS"/>
              </w:rPr>
              <w:t xml:space="preserve"> </w:t>
            </w:r>
            <w:r>
              <w:rPr>
                <w:rFonts w:ascii="Times New Roman" w:eastAsia="Times New Roman" w:hAnsi="Times New Roman" w:cs="Times New Roman"/>
                <w:bCs/>
                <w:color w:val="000000"/>
                <w:sz w:val="20"/>
                <w:szCs w:val="20"/>
                <w:lang w:val="sr-Cyrl-RS"/>
              </w:rPr>
              <w:t>Светог мученика Пантелејмона у Брђанима. Циљ градње је да се створи амбијентална целина у функцији храма што јесте од локалног интереса за становнике Брђана, па Комисија предлаже да се пројекат подржи у целини.</w:t>
            </w:r>
          </w:p>
        </w:tc>
      </w:tr>
      <w:tr w:rsidR="00751D25" w:rsidTr="00751D25">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85" w:type="pct"/>
            <w:hideMark/>
          </w:tcPr>
          <w:p w:rsidR="00751D25" w:rsidRDefault="00751D25">
            <w:pPr>
              <w:spacing w:line="240" w:lineRule="auto"/>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3</w:t>
            </w:r>
          </w:p>
        </w:tc>
        <w:tc>
          <w:tcPr>
            <w:tcW w:w="702"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rPr>
              <w:t xml:space="preserve">Српска православна црквена Општина </w:t>
            </w:r>
            <w:r>
              <w:rPr>
                <w:rFonts w:ascii="Times New Roman" w:eastAsia="Times New Roman" w:hAnsi="Times New Roman" w:cs="Times New Roman"/>
                <w:bCs/>
                <w:color w:val="000000"/>
                <w:sz w:val="20"/>
                <w:szCs w:val="20"/>
                <w:lang w:val="sr-Cyrl-RS"/>
              </w:rPr>
              <w:t>Бољковци</w:t>
            </w:r>
          </w:p>
        </w:tc>
        <w:tc>
          <w:tcPr>
            <w:tcW w:w="233"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842</w:t>
            </w:r>
          </w:p>
        </w:tc>
        <w:tc>
          <w:tcPr>
            <w:tcW w:w="1215"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rPr>
              <w:t>Наставак унутрашње реконструкције уградњом гранитних плоча на зидовима</w:t>
            </w:r>
            <w:r>
              <w:rPr>
                <w:rFonts w:ascii="Times New Roman" w:eastAsia="Times New Roman" w:hAnsi="Times New Roman" w:cs="Times New Roman"/>
                <w:bCs/>
                <w:color w:val="000000"/>
                <w:sz w:val="20"/>
                <w:szCs w:val="20"/>
                <w:lang w:val="sr-Cyrl-RS"/>
              </w:rPr>
              <w:t xml:space="preserve"> Цркве у Бољковцима</w:t>
            </w:r>
          </w:p>
        </w:tc>
        <w:tc>
          <w:tcPr>
            <w:tcW w:w="421"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 xml:space="preserve">1.000.000    </w:t>
            </w:r>
          </w:p>
        </w:tc>
        <w:tc>
          <w:tcPr>
            <w:tcW w:w="341"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color w:val="000000"/>
                <w:sz w:val="20"/>
                <w:szCs w:val="20"/>
                <w:lang w:val="sr-Cyrl-RS"/>
              </w:rPr>
            </w:pPr>
            <w:r>
              <w:rPr>
                <w:color w:val="000000"/>
                <w:sz w:val="20"/>
                <w:szCs w:val="20"/>
                <w:lang w:val="sr-Cyrl-RS"/>
              </w:rPr>
              <w:t>100</w:t>
            </w:r>
          </w:p>
        </w:tc>
        <w:tc>
          <w:tcPr>
            <w:tcW w:w="499"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1.000.000</w:t>
            </w:r>
          </w:p>
        </w:tc>
        <w:tc>
          <w:tcPr>
            <w:tcW w:w="1403" w:type="pct"/>
            <w:hideMark/>
          </w:tcPr>
          <w:p w:rsidR="00751D25" w:rsidRDefault="00751D2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 xml:space="preserve">Пројекат има за циљ наставак </w:t>
            </w:r>
            <w:r>
              <w:rPr>
                <w:rFonts w:ascii="Times New Roman" w:eastAsia="Times New Roman" w:hAnsi="Times New Roman" w:cs="Times New Roman"/>
                <w:bCs/>
                <w:color w:val="000000"/>
                <w:sz w:val="20"/>
                <w:szCs w:val="20"/>
              </w:rPr>
              <w:t>унутрашње реконструкције уградњом гранитних плоча на зидовима</w:t>
            </w:r>
            <w:r>
              <w:rPr>
                <w:rFonts w:ascii="Times New Roman" w:eastAsia="Times New Roman" w:hAnsi="Times New Roman" w:cs="Times New Roman"/>
                <w:bCs/>
                <w:color w:val="000000"/>
                <w:sz w:val="20"/>
                <w:szCs w:val="20"/>
                <w:lang w:val="sr-Cyrl-RS"/>
              </w:rPr>
              <w:t xml:space="preserve"> Цркве у Бољковцима. Тиме би се окончао један део започетих радова на унутрашњем уређењу храма. СПЦО Бољковци је до сада достављала уредне извештаје за раније коришћена средства, па се предлаже да се и овај пројекат, као </w:t>
            </w:r>
            <w:r>
              <w:rPr>
                <w:rFonts w:ascii="Times New Roman" w:eastAsia="Times New Roman" w:hAnsi="Times New Roman" w:cs="Times New Roman"/>
                <w:bCs/>
                <w:color w:val="000000"/>
                <w:sz w:val="20"/>
                <w:szCs w:val="20"/>
                <w:lang w:val="sr-Cyrl-RS"/>
              </w:rPr>
              <w:lastRenderedPageBreak/>
              <w:t>наставак раније започетих радова подржи у целини.</w:t>
            </w:r>
          </w:p>
        </w:tc>
      </w:tr>
      <w:tr w:rsidR="00751D25" w:rsidTr="00751D25">
        <w:trPr>
          <w:trHeight w:val="840"/>
        </w:trPr>
        <w:tc>
          <w:tcPr>
            <w:cnfStyle w:val="001000000000" w:firstRow="0" w:lastRow="0" w:firstColumn="1" w:lastColumn="0" w:oddVBand="0" w:evenVBand="0" w:oddHBand="0" w:evenHBand="0" w:firstRowFirstColumn="0" w:firstRowLastColumn="0" w:lastRowFirstColumn="0" w:lastRowLastColumn="0"/>
            <w:tcW w:w="185" w:type="pct"/>
            <w:hideMark/>
          </w:tcPr>
          <w:p w:rsidR="00751D25" w:rsidRDefault="00751D25">
            <w:pPr>
              <w:spacing w:line="240" w:lineRule="auto"/>
              <w:rPr>
                <w:rFonts w:ascii="Times New Roman" w:eastAsia="Times New Roman" w:hAnsi="Times New Roman" w:cs="Times New Roman"/>
                <w:b w:val="0"/>
                <w:color w:val="000000"/>
                <w:sz w:val="20"/>
                <w:szCs w:val="20"/>
                <w:lang w:val="sr-Cyrl-RS"/>
              </w:rPr>
            </w:pPr>
            <w:r>
              <w:rPr>
                <w:rFonts w:ascii="Times New Roman" w:eastAsia="Times New Roman" w:hAnsi="Times New Roman" w:cs="Times New Roman"/>
                <w:b w:val="0"/>
                <w:color w:val="000000"/>
                <w:sz w:val="20"/>
                <w:szCs w:val="20"/>
                <w:lang w:val="sr-Cyrl-RS"/>
              </w:rPr>
              <w:lastRenderedPageBreak/>
              <w:t>4</w:t>
            </w:r>
          </w:p>
        </w:tc>
        <w:tc>
          <w:tcPr>
            <w:tcW w:w="702" w:type="pct"/>
            <w:hideMark/>
          </w:tcPr>
          <w:p w:rsidR="00751D25" w:rsidRDefault="00751D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ЦО Горњи Милановац</w:t>
            </w:r>
          </w:p>
        </w:tc>
        <w:tc>
          <w:tcPr>
            <w:tcW w:w="233" w:type="pct"/>
            <w:hideMark/>
          </w:tcPr>
          <w:p w:rsidR="00751D25" w:rsidRDefault="00751D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860</w:t>
            </w:r>
          </w:p>
        </w:tc>
        <w:tc>
          <w:tcPr>
            <w:tcW w:w="1215" w:type="pct"/>
            <w:hideMark/>
          </w:tcPr>
          <w:p w:rsidR="00751D25" w:rsidRDefault="00751D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lang w:val="sr-Cyrl-RS"/>
              </w:rPr>
              <w:t>З</w:t>
            </w:r>
            <w:r>
              <w:rPr>
                <w:rFonts w:ascii="Times New Roman" w:eastAsia="Times New Roman" w:hAnsi="Times New Roman" w:cs="Times New Roman"/>
                <w:bCs/>
                <w:color w:val="000000"/>
                <w:sz w:val="20"/>
                <w:szCs w:val="20"/>
              </w:rPr>
              <w:t>амена црепа на парохијском дому Св Тројице</w:t>
            </w:r>
          </w:p>
        </w:tc>
        <w:tc>
          <w:tcPr>
            <w:tcW w:w="421" w:type="pct"/>
            <w:hideMark/>
          </w:tcPr>
          <w:p w:rsidR="00751D25" w:rsidRDefault="00751D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 xml:space="preserve"> 1.800.000  </w:t>
            </w:r>
          </w:p>
        </w:tc>
        <w:tc>
          <w:tcPr>
            <w:tcW w:w="341" w:type="pct"/>
            <w:hideMark/>
          </w:tcPr>
          <w:p w:rsidR="00751D25" w:rsidRDefault="00751D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63</w:t>
            </w:r>
          </w:p>
        </w:tc>
        <w:tc>
          <w:tcPr>
            <w:tcW w:w="499" w:type="pct"/>
            <w:hideMark/>
          </w:tcPr>
          <w:p w:rsidR="00751D25" w:rsidRDefault="003237E5" w:rsidP="003237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1.120</w:t>
            </w:r>
            <w:r w:rsidR="00751D25">
              <w:rPr>
                <w:rFonts w:ascii="Times New Roman" w:eastAsia="Times New Roman" w:hAnsi="Times New Roman" w:cs="Times New Roman"/>
                <w:bCs/>
                <w:color w:val="000000"/>
                <w:sz w:val="20"/>
                <w:szCs w:val="20"/>
                <w:lang w:val="sr-Cyrl-RS"/>
              </w:rPr>
              <w:t>.000</w:t>
            </w:r>
          </w:p>
        </w:tc>
        <w:tc>
          <w:tcPr>
            <w:tcW w:w="1403" w:type="pct"/>
            <w:hideMark/>
          </w:tcPr>
          <w:p w:rsidR="00751D25" w:rsidRDefault="00751D2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Пројекат се фокусира на инвестиционим радовима на кровној конструкцији парохијског дома у Горњем Милановцу. Циљ је да се радови изведу тако да се не наруши амбијентална целина са заштићеним културним добром - Црквом Свете Тројице. Санација је неопходна у циљу очувања стабилности грађевине, у функцији самог Храма. Пројекат се подржава у оквиру расположивих средстава.</w:t>
            </w:r>
          </w:p>
        </w:tc>
      </w:tr>
      <w:tr w:rsidR="00751D25" w:rsidTr="00751D2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5" w:type="pct"/>
            <w:hideMark/>
          </w:tcPr>
          <w:p w:rsidR="00751D25" w:rsidRDefault="00751D25">
            <w:pPr>
              <w:spacing w:line="240" w:lineRule="auto"/>
              <w:rPr>
                <w:rFonts w:ascii="Times New Roman" w:eastAsia="Times New Roman" w:hAnsi="Times New Roman" w:cs="Times New Roman"/>
                <w:b w:val="0"/>
                <w:color w:val="000000"/>
                <w:sz w:val="20"/>
                <w:szCs w:val="20"/>
                <w:lang w:val="sr-Cyrl-RS"/>
              </w:rPr>
            </w:pPr>
            <w:r>
              <w:rPr>
                <w:rFonts w:ascii="Times New Roman" w:eastAsia="Times New Roman" w:hAnsi="Times New Roman" w:cs="Times New Roman"/>
                <w:b w:val="0"/>
                <w:color w:val="000000"/>
                <w:sz w:val="20"/>
                <w:szCs w:val="20"/>
                <w:lang w:val="sr-Cyrl-RS"/>
              </w:rPr>
              <w:t>5</w:t>
            </w:r>
          </w:p>
        </w:tc>
        <w:tc>
          <w:tcPr>
            <w:tcW w:w="702"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Српска православна црквена општина Враћевшница</w:t>
            </w:r>
          </w:p>
        </w:tc>
        <w:tc>
          <w:tcPr>
            <w:tcW w:w="233"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lang w:val="sr-Cyrl-RS"/>
              </w:rPr>
              <w:t>874</w:t>
            </w:r>
          </w:p>
        </w:tc>
        <w:tc>
          <w:tcPr>
            <w:tcW w:w="1215"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Израда икона и комплетирање иконостаса на Храму Св. Архангела у Доњој Врбави</w:t>
            </w:r>
          </w:p>
        </w:tc>
        <w:tc>
          <w:tcPr>
            <w:tcW w:w="421"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 xml:space="preserve"> 180.000      </w:t>
            </w:r>
          </w:p>
        </w:tc>
        <w:tc>
          <w:tcPr>
            <w:tcW w:w="341"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100</w:t>
            </w:r>
          </w:p>
        </w:tc>
        <w:tc>
          <w:tcPr>
            <w:tcW w:w="499"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180.000</w:t>
            </w:r>
          </w:p>
        </w:tc>
        <w:tc>
          <w:tcPr>
            <w:tcW w:w="1403" w:type="pct"/>
            <w:hideMark/>
          </w:tcPr>
          <w:p w:rsidR="00751D25" w:rsidRDefault="00751D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Пројекат предвиђа радове на иконостасу Цркве Светог Архангела у Доњој Врбави. Скромним средствима завршили би се значајни радови на унутрашњем уређењу храма, па се предлаже подршка пројекту у целини.</w:t>
            </w:r>
          </w:p>
        </w:tc>
      </w:tr>
    </w:tbl>
    <w:p w:rsidR="00751D25" w:rsidRDefault="00751D25" w:rsidP="00751D25">
      <w:pPr>
        <w:pStyle w:val="NoSpacing"/>
        <w:rPr>
          <w:rFonts w:ascii="Times New Roman" w:hAnsi="Times New Roman" w:cs="Times New Roman"/>
        </w:rPr>
      </w:pPr>
      <w:r>
        <w:rPr>
          <w:rFonts w:ascii="Times New Roman" w:hAnsi="Times New Roman" w:cs="Times New Roman"/>
          <w:lang w:val="sr-Cyrl-RS"/>
        </w:rPr>
        <w:t xml:space="preserve">Прелиминарну листу објавити </w:t>
      </w:r>
      <w:r>
        <w:rPr>
          <w:rFonts w:ascii="Times New Roman" w:hAnsi="Times New Roman" w:cs="Times New Roman"/>
        </w:rPr>
        <w:t xml:space="preserve">на званичној интернет страници општине Горњи Милановац </w:t>
      </w:r>
      <w:r>
        <w:rPr>
          <w:rFonts w:ascii="Times New Roman" w:hAnsi="Times New Roman" w:cs="Times New Roman"/>
          <w:lang w:val="sr-Cyrl-RS"/>
        </w:rPr>
        <w:t>са обавештењем учесницима да имају</w:t>
      </w:r>
      <w:r>
        <w:rPr>
          <w:rFonts w:ascii="Times New Roman" w:hAnsi="Times New Roman" w:cs="Times New Roman"/>
        </w:rPr>
        <w:t>:</w:t>
      </w:r>
    </w:p>
    <w:p w:rsidR="00751D25" w:rsidRDefault="00751D25" w:rsidP="00751D25">
      <w:pPr>
        <w:pStyle w:val="NoSpacing"/>
        <w:rPr>
          <w:rFonts w:ascii="Times New Roman" w:hAnsi="Times New Roman" w:cs="Times New Roman"/>
          <w:lang w:val="sr-Cyrl-RS"/>
        </w:rPr>
      </w:pPr>
      <w:r>
        <w:rPr>
          <w:rFonts w:ascii="Times New Roman" w:hAnsi="Times New Roman" w:cs="Times New Roman"/>
        </w:rPr>
        <w:t>- право увида у поднете пријаве и приложену документацију</w:t>
      </w:r>
      <w:r>
        <w:rPr>
          <w:rFonts w:ascii="Times New Roman" w:hAnsi="Times New Roman" w:cs="Times New Roman"/>
          <w:lang w:val="sr-Cyrl-RS"/>
        </w:rPr>
        <w:t xml:space="preserve"> -</w:t>
      </w:r>
      <w:r>
        <w:rPr>
          <w:rFonts w:ascii="Times New Roman" w:hAnsi="Times New Roman" w:cs="Times New Roman"/>
        </w:rPr>
        <w:t xml:space="preserve"> у року од три радна дана од дана објављивања</w:t>
      </w:r>
      <w:r>
        <w:rPr>
          <w:rFonts w:ascii="Times New Roman" w:hAnsi="Times New Roman" w:cs="Times New Roman"/>
          <w:lang w:val="sr-Cyrl-RS"/>
        </w:rPr>
        <w:t>.</w:t>
      </w:r>
    </w:p>
    <w:p w:rsidR="00751D25" w:rsidRDefault="00751D25" w:rsidP="00751D25">
      <w:pPr>
        <w:pStyle w:val="NoSpacing"/>
        <w:rPr>
          <w:rFonts w:ascii="Times New Roman" w:hAnsi="Times New Roman" w:cs="Times New Roman"/>
          <w:lang w:val="sr-Cyrl-RS"/>
        </w:rPr>
      </w:pPr>
      <w:r>
        <w:rPr>
          <w:rFonts w:ascii="Times New Roman" w:hAnsi="Times New Roman" w:cs="Times New Roman"/>
        </w:rPr>
        <w:t>- право писаног приговора на листу - у року од осам дана од дана објављивања</w:t>
      </w:r>
      <w:r>
        <w:rPr>
          <w:rFonts w:ascii="Times New Roman" w:hAnsi="Times New Roman" w:cs="Times New Roman"/>
          <w:lang w:val="sr-Cyrl-RS"/>
        </w:rPr>
        <w:t>.</w:t>
      </w:r>
    </w:p>
    <w:p w:rsidR="00751D25" w:rsidRDefault="00751D25" w:rsidP="00751D25">
      <w:pPr>
        <w:pStyle w:val="NoSpacing"/>
        <w:ind w:left="284"/>
        <w:jc w:val="both"/>
        <w:rPr>
          <w:rFonts w:ascii="Times New Roman" w:hAnsi="Times New Roman" w:cs="Times New Roman"/>
          <w:b/>
          <w:sz w:val="24"/>
          <w:szCs w:val="24"/>
          <w:lang w:val="sr-Cyrl-RS"/>
        </w:rPr>
      </w:pPr>
    </w:p>
    <w:p w:rsidR="00751D25" w:rsidRDefault="00751D25" w:rsidP="00751D25">
      <w:pPr>
        <w:pStyle w:val="NoSpacing"/>
        <w:ind w:left="284"/>
        <w:jc w:val="both"/>
        <w:rPr>
          <w:rFonts w:ascii="Times New Roman" w:hAnsi="Times New Roman" w:cs="Times New Roman"/>
          <w:b/>
          <w:sz w:val="24"/>
          <w:szCs w:val="24"/>
          <w:lang w:val="sr-Cyrl-RS"/>
        </w:rPr>
      </w:pPr>
      <w:r>
        <w:rPr>
          <w:rFonts w:ascii="Times New Roman" w:hAnsi="Times New Roman" w:cs="Times New Roman"/>
          <w:b/>
          <w:sz w:val="24"/>
          <w:szCs w:val="24"/>
          <w:lang w:val="sr-Cyrl-RS"/>
        </w:rPr>
        <w:t>3. Текућа питања.</w:t>
      </w:r>
    </w:p>
    <w:p w:rsidR="00751D25" w:rsidRDefault="00751D25" w:rsidP="00751D25">
      <w:pPr>
        <w:pStyle w:val="NoSpacing"/>
        <w:ind w:left="284"/>
        <w:jc w:val="both"/>
        <w:rPr>
          <w:rFonts w:ascii="Times New Roman" w:hAnsi="Times New Roman" w:cs="Times New Roman"/>
          <w:sz w:val="24"/>
          <w:szCs w:val="24"/>
          <w:lang w:val="sr-Cyrl-RS"/>
        </w:rPr>
      </w:pPr>
      <w:r>
        <w:rPr>
          <w:rFonts w:ascii="Times New Roman" w:hAnsi="Times New Roman" w:cs="Times New Roman"/>
          <w:sz w:val="24"/>
          <w:szCs w:val="24"/>
          <w:lang w:val="sr-Cyrl-RS"/>
        </w:rPr>
        <w:t>Није било посебне дискусије.</w:t>
      </w:r>
    </w:p>
    <w:p w:rsidR="00751D25" w:rsidRDefault="00751D25" w:rsidP="00751D25">
      <w:pPr>
        <w:pStyle w:val="NoSpacing"/>
        <w:ind w:left="1080"/>
        <w:jc w:val="center"/>
        <w:rPr>
          <w:rFonts w:ascii="Times New Roman" w:hAnsi="Times New Roman" w:cs="Times New Roman"/>
          <w:b/>
          <w:sz w:val="24"/>
          <w:szCs w:val="24"/>
          <w:lang w:val="sr-Cyrl-RS"/>
        </w:rPr>
      </w:pPr>
    </w:p>
    <w:p w:rsidR="00854854" w:rsidRDefault="00854854" w:rsidP="00854854">
      <w:pPr>
        <w:pStyle w:val="NoSpacing"/>
        <w:rPr>
          <w:rFonts w:ascii="Times New Roman" w:hAnsi="Times New Roman" w:cs="Times New Roman"/>
          <w:sz w:val="23"/>
          <w:szCs w:val="23"/>
        </w:rPr>
      </w:pPr>
      <w:r>
        <w:rPr>
          <w:rFonts w:ascii="Times New Roman" w:hAnsi="Times New Roman" w:cs="Times New Roman"/>
          <w:sz w:val="24"/>
          <w:szCs w:val="24"/>
          <w:lang w:val="sr-Cyrl-RS"/>
        </w:rPr>
        <w:t xml:space="preserve">бр. </w:t>
      </w:r>
      <w:r>
        <w:rPr>
          <w:rFonts w:ascii="Times New Roman" w:hAnsi="Times New Roman" w:cs="Times New Roman"/>
          <w:sz w:val="23"/>
          <w:szCs w:val="23"/>
        </w:rPr>
        <w:t>1-401-102/2023-1</w:t>
      </w:r>
      <w:r>
        <w:rPr>
          <w:rFonts w:ascii="Times New Roman" w:hAnsi="Times New Roman" w:cs="Times New Roman"/>
          <w:sz w:val="23"/>
          <w:szCs w:val="23"/>
          <w:lang w:val="sr-Cyrl-RS"/>
        </w:rPr>
        <w:t xml:space="preserve"> у</w:t>
      </w:r>
      <w:r>
        <w:rPr>
          <w:rFonts w:ascii="Times New Roman" w:hAnsi="Times New Roman" w:cs="Times New Roman"/>
          <w:sz w:val="24"/>
          <w:szCs w:val="24"/>
          <w:lang w:val="sr-Cyrl-RS"/>
        </w:rPr>
        <w:t xml:space="preserve"> Горњем Милановцу 16.03.2023. године, </w:t>
      </w:r>
    </w:p>
    <w:p w:rsidR="00166B54" w:rsidRDefault="00166B54" w:rsidP="00166B54">
      <w:pPr>
        <w:pStyle w:val="NoSpacing"/>
        <w:ind w:left="1080"/>
        <w:rPr>
          <w:rFonts w:ascii="Times New Roman" w:hAnsi="Times New Roman" w:cs="Times New Roman"/>
          <w:b/>
          <w:sz w:val="24"/>
          <w:szCs w:val="24"/>
          <w:lang w:val="sr-Cyrl-RS"/>
        </w:rPr>
      </w:pPr>
      <w:bookmarkStart w:id="0" w:name="_GoBack"/>
      <w:bookmarkEnd w:id="0"/>
    </w:p>
    <w:p w:rsidR="00166B54" w:rsidRDefault="00166B54" w:rsidP="00166B54">
      <w:pPr>
        <w:pStyle w:val="NoSpacing"/>
        <w:ind w:left="108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КОМИСИЈА ЗА ОЦЕНУ ПРЕДЛОГА ПРОЈЕКАТА УДРУЖЕЊА У ОБЛАСТИ КУЛТУРЕ И ПРОГРАМА ЦРКАВА И ВЕРСКИХ ЗАЈЕДНИЦА</w:t>
      </w:r>
    </w:p>
    <w:p w:rsidR="00166B54" w:rsidRDefault="00166B54" w:rsidP="00166B54">
      <w:pPr>
        <w:pStyle w:val="NoSpacing"/>
        <w:ind w:left="1080"/>
        <w:jc w:val="center"/>
        <w:rPr>
          <w:rFonts w:ascii="Times New Roman" w:hAnsi="Times New Roman" w:cs="Times New Roman"/>
          <w:b/>
          <w:sz w:val="24"/>
          <w:szCs w:val="24"/>
          <w:lang w:val="sr-Cyrl-R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3188"/>
        <w:gridCol w:w="382"/>
        <w:gridCol w:w="2800"/>
        <w:gridCol w:w="1854"/>
        <w:gridCol w:w="1407"/>
        <w:gridCol w:w="3247"/>
      </w:tblGrid>
      <w:tr w:rsidR="00166B54" w:rsidTr="00166B54">
        <w:trPr>
          <w:gridBefore w:val="1"/>
          <w:wBefore w:w="387" w:type="pct"/>
        </w:trPr>
        <w:tc>
          <w:tcPr>
            <w:tcW w:w="1142" w:type="pct"/>
            <w:hideMark/>
          </w:tcPr>
          <w:p w:rsidR="00166B54" w:rsidRDefault="00166B54" w:rsidP="00166B54">
            <w:pPr>
              <w:pStyle w:val="NoSpacing"/>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Радош Гачић с.р.</w:t>
            </w:r>
          </w:p>
        </w:tc>
        <w:tc>
          <w:tcPr>
            <w:tcW w:w="1140" w:type="pct"/>
            <w:gridSpan w:val="2"/>
            <w:hideMark/>
          </w:tcPr>
          <w:p w:rsidR="00166B54" w:rsidRDefault="00166B54" w:rsidP="00166B54">
            <w:pPr>
              <w:pStyle w:val="NoSpacing"/>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Тања Гачић с.р.</w:t>
            </w:r>
          </w:p>
        </w:tc>
        <w:tc>
          <w:tcPr>
            <w:tcW w:w="1168" w:type="pct"/>
            <w:gridSpan w:val="2"/>
            <w:hideMark/>
          </w:tcPr>
          <w:p w:rsidR="00166B54" w:rsidRDefault="00166B54" w:rsidP="00166B54">
            <w:pPr>
              <w:pStyle w:val="NoSpacing"/>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Ана Јовићевић с.р.</w:t>
            </w:r>
          </w:p>
        </w:tc>
        <w:tc>
          <w:tcPr>
            <w:tcW w:w="1163" w:type="pct"/>
            <w:hideMark/>
          </w:tcPr>
          <w:p w:rsidR="00166B54" w:rsidRDefault="00166B54" w:rsidP="00166B54">
            <w:pPr>
              <w:pStyle w:val="NoSpacing"/>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Драгица Петровић с.р.</w:t>
            </w:r>
          </w:p>
        </w:tc>
      </w:tr>
      <w:tr w:rsidR="00166B54" w:rsidTr="00166B54">
        <w:tc>
          <w:tcPr>
            <w:tcW w:w="1666" w:type="pct"/>
            <w:gridSpan w:val="3"/>
          </w:tcPr>
          <w:p w:rsidR="00166B54" w:rsidRDefault="00166B54">
            <w:pPr>
              <w:pStyle w:val="NoSpacing"/>
              <w:ind w:left="720"/>
              <w:rPr>
                <w:rFonts w:ascii="Times New Roman" w:hAnsi="Times New Roman" w:cs="Times New Roman"/>
                <w:b/>
                <w:sz w:val="24"/>
                <w:szCs w:val="24"/>
                <w:lang w:val="sr-Cyrl-RS"/>
              </w:rPr>
            </w:pPr>
          </w:p>
        </w:tc>
        <w:tc>
          <w:tcPr>
            <w:tcW w:w="1667" w:type="pct"/>
            <w:gridSpan w:val="2"/>
          </w:tcPr>
          <w:p w:rsidR="00166B54" w:rsidRDefault="00166B54">
            <w:pPr>
              <w:pStyle w:val="NoSpacing"/>
              <w:ind w:left="720"/>
              <w:rPr>
                <w:rFonts w:ascii="Times New Roman" w:hAnsi="Times New Roman" w:cs="Times New Roman"/>
                <w:b/>
                <w:sz w:val="24"/>
                <w:szCs w:val="24"/>
                <w:lang w:val="sr-Cyrl-RS"/>
              </w:rPr>
            </w:pPr>
          </w:p>
          <w:p w:rsidR="00166B54" w:rsidRDefault="00166B54">
            <w:pPr>
              <w:pStyle w:val="NoSpacing"/>
              <w:ind w:left="720"/>
              <w:rPr>
                <w:rFonts w:ascii="Times New Roman" w:hAnsi="Times New Roman" w:cs="Times New Roman"/>
                <w:b/>
                <w:sz w:val="24"/>
                <w:szCs w:val="24"/>
                <w:lang w:val="sr-Cyrl-RS"/>
              </w:rPr>
            </w:pPr>
          </w:p>
        </w:tc>
        <w:tc>
          <w:tcPr>
            <w:tcW w:w="1667" w:type="pct"/>
            <w:gridSpan w:val="2"/>
          </w:tcPr>
          <w:p w:rsidR="00166B54" w:rsidRDefault="00166B54">
            <w:pPr>
              <w:pStyle w:val="NoSpacing"/>
              <w:ind w:left="720"/>
              <w:rPr>
                <w:rFonts w:ascii="Times New Roman" w:hAnsi="Times New Roman" w:cs="Times New Roman"/>
                <w:b/>
                <w:sz w:val="24"/>
                <w:szCs w:val="24"/>
                <w:lang w:val="sr-Cyrl-RS"/>
              </w:rPr>
            </w:pPr>
          </w:p>
          <w:p w:rsidR="00166B54" w:rsidRDefault="00166B54">
            <w:pPr>
              <w:pStyle w:val="NoSpacing"/>
              <w:ind w:left="720"/>
              <w:rPr>
                <w:rFonts w:ascii="Times New Roman" w:hAnsi="Times New Roman" w:cs="Times New Roman"/>
                <w:b/>
                <w:sz w:val="24"/>
                <w:szCs w:val="24"/>
                <w:lang w:val="sr-Cyrl-RS"/>
              </w:rPr>
            </w:pPr>
          </w:p>
        </w:tc>
      </w:tr>
      <w:tr w:rsidR="00166B54" w:rsidTr="00166B54">
        <w:tc>
          <w:tcPr>
            <w:tcW w:w="1666" w:type="pct"/>
            <w:gridSpan w:val="3"/>
          </w:tcPr>
          <w:p w:rsidR="00166B54" w:rsidRDefault="00166B54">
            <w:pPr>
              <w:pStyle w:val="NoSpacing"/>
              <w:ind w:left="720"/>
              <w:rPr>
                <w:rFonts w:ascii="Times New Roman" w:hAnsi="Times New Roman" w:cs="Times New Roman"/>
                <w:b/>
                <w:sz w:val="24"/>
                <w:szCs w:val="24"/>
                <w:lang w:val="sr-Cyrl-RS"/>
              </w:rPr>
            </w:pPr>
          </w:p>
        </w:tc>
        <w:tc>
          <w:tcPr>
            <w:tcW w:w="1667" w:type="pct"/>
            <w:gridSpan w:val="2"/>
          </w:tcPr>
          <w:p w:rsidR="00166B54" w:rsidRDefault="00166B54">
            <w:pPr>
              <w:pStyle w:val="NoSpacing"/>
              <w:ind w:left="720"/>
              <w:rPr>
                <w:rFonts w:ascii="Times New Roman" w:hAnsi="Times New Roman" w:cs="Times New Roman"/>
                <w:b/>
                <w:sz w:val="24"/>
                <w:szCs w:val="24"/>
                <w:lang w:val="sr-Cyrl-RS"/>
              </w:rPr>
            </w:pPr>
          </w:p>
        </w:tc>
        <w:tc>
          <w:tcPr>
            <w:tcW w:w="1667" w:type="pct"/>
            <w:gridSpan w:val="2"/>
            <w:hideMark/>
          </w:tcPr>
          <w:p w:rsidR="00166B54" w:rsidRDefault="00166B54">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КОМИСИЈЕ</w:t>
            </w:r>
          </w:p>
          <w:p w:rsidR="00166B54" w:rsidRDefault="00166B54">
            <w:pPr>
              <w:pStyle w:val="NoSpacing"/>
              <w:ind w:left="720"/>
              <w:rPr>
                <w:rFonts w:ascii="Times New Roman" w:hAnsi="Times New Roman" w:cs="Times New Roman"/>
                <w:b/>
                <w:sz w:val="24"/>
                <w:szCs w:val="24"/>
                <w:lang w:val="sr-Cyrl-RS"/>
              </w:rPr>
            </w:pPr>
            <w:r>
              <w:rPr>
                <w:rFonts w:ascii="Times New Roman" w:hAnsi="Times New Roman" w:cs="Times New Roman"/>
                <w:sz w:val="24"/>
                <w:szCs w:val="24"/>
                <w:lang w:val="sr-Cyrl-RS"/>
              </w:rPr>
              <w:t>Јадранка Достанић с.р.</w:t>
            </w:r>
          </w:p>
        </w:tc>
      </w:tr>
    </w:tbl>
    <w:p w:rsidR="00751D25" w:rsidRDefault="00751D25" w:rsidP="00751D25">
      <w:pPr>
        <w:pStyle w:val="NoSpacing"/>
        <w:jc w:val="both"/>
        <w:rPr>
          <w:rFonts w:ascii="Times New Roman" w:hAnsi="Times New Roman" w:cs="Times New Roman"/>
          <w:sz w:val="24"/>
          <w:szCs w:val="24"/>
          <w:lang w:val="sr-Cyrl-RS"/>
        </w:rPr>
      </w:pPr>
    </w:p>
    <w:p w:rsidR="003E193D" w:rsidRPr="00AB2E99" w:rsidRDefault="003E193D" w:rsidP="00751D25">
      <w:pPr>
        <w:pStyle w:val="NoSpacing"/>
        <w:jc w:val="both"/>
        <w:rPr>
          <w:rFonts w:ascii="Times New Roman" w:hAnsi="Times New Roman" w:cs="Times New Roman"/>
        </w:rPr>
      </w:pPr>
    </w:p>
    <w:sectPr w:rsidR="003E193D" w:rsidRPr="00AB2E99" w:rsidSect="00AB2E99">
      <w:pgSz w:w="16839" w:h="11907" w:orient="landscape" w:code="9"/>
      <w:pgMar w:top="567"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F4999"/>
    <w:multiLevelType w:val="hybridMultilevel"/>
    <w:tmpl w:val="46FEE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BB1E66"/>
    <w:multiLevelType w:val="hybridMultilevel"/>
    <w:tmpl w:val="46FEE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1D4E9F"/>
    <w:multiLevelType w:val="hybridMultilevel"/>
    <w:tmpl w:val="F6E4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2"/>
    <w:rsid w:val="00166B54"/>
    <w:rsid w:val="003237E5"/>
    <w:rsid w:val="003E193D"/>
    <w:rsid w:val="004D7AC2"/>
    <w:rsid w:val="00532727"/>
    <w:rsid w:val="0054431D"/>
    <w:rsid w:val="006075FA"/>
    <w:rsid w:val="00751D25"/>
    <w:rsid w:val="00793ECE"/>
    <w:rsid w:val="007D3F64"/>
    <w:rsid w:val="00854854"/>
    <w:rsid w:val="009137F6"/>
    <w:rsid w:val="0094059B"/>
    <w:rsid w:val="00971752"/>
    <w:rsid w:val="00AB2E99"/>
    <w:rsid w:val="00BC1D8F"/>
    <w:rsid w:val="00CF4ACB"/>
    <w:rsid w:val="00EA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FAF5-A99D-4797-8AA3-FF70E037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AC2"/>
    <w:pPr>
      <w:spacing w:after="0" w:line="240" w:lineRule="auto"/>
    </w:pPr>
  </w:style>
  <w:style w:type="table" w:styleId="TableGridLight">
    <w:name w:val="Grid Table Light"/>
    <w:basedOn w:val="TableNormal"/>
    <w:uiPriority w:val="40"/>
    <w:rsid w:val="004D7AC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91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EA081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71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52"/>
    <w:rPr>
      <w:rFonts w:ascii="Segoe UI" w:hAnsi="Segoe UI" w:cs="Segoe UI"/>
      <w:sz w:val="18"/>
      <w:szCs w:val="18"/>
    </w:rPr>
  </w:style>
  <w:style w:type="table" w:styleId="GridTable5Dark-Accent1">
    <w:name w:val="Grid Table 5 Dark Accent 1"/>
    <w:basedOn w:val="TableNormal"/>
    <w:uiPriority w:val="50"/>
    <w:rsid w:val="00793EC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7226">
      <w:bodyDiv w:val="1"/>
      <w:marLeft w:val="0"/>
      <w:marRight w:val="0"/>
      <w:marTop w:val="0"/>
      <w:marBottom w:val="0"/>
      <w:divBdr>
        <w:top w:val="none" w:sz="0" w:space="0" w:color="auto"/>
        <w:left w:val="none" w:sz="0" w:space="0" w:color="auto"/>
        <w:bottom w:val="none" w:sz="0" w:space="0" w:color="auto"/>
        <w:right w:val="none" w:sz="0" w:space="0" w:color="auto"/>
      </w:divBdr>
    </w:div>
    <w:div w:id="1084839509">
      <w:bodyDiv w:val="1"/>
      <w:marLeft w:val="0"/>
      <w:marRight w:val="0"/>
      <w:marTop w:val="0"/>
      <w:marBottom w:val="0"/>
      <w:divBdr>
        <w:top w:val="none" w:sz="0" w:space="0" w:color="auto"/>
        <w:left w:val="none" w:sz="0" w:space="0" w:color="auto"/>
        <w:bottom w:val="none" w:sz="0" w:space="0" w:color="auto"/>
        <w:right w:val="none" w:sz="0" w:space="0" w:color="auto"/>
      </w:divBdr>
    </w:div>
    <w:div w:id="15026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Ralović</dc:creator>
  <cp:keywords/>
  <dc:description/>
  <cp:lastModifiedBy>Sandra Ralović</cp:lastModifiedBy>
  <cp:revision>16</cp:revision>
  <cp:lastPrinted>2023-03-17T13:27:00Z</cp:lastPrinted>
  <dcterms:created xsi:type="dcterms:W3CDTF">2022-04-05T09:21:00Z</dcterms:created>
  <dcterms:modified xsi:type="dcterms:W3CDTF">2023-03-17T15:37:00Z</dcterms:modified>
</cp:coreProperties>
</file>