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5F" w:rsidRDefault="0042745F" w:rsidP="004274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ПРЕЛИМИНАРНА ЛИСТА</w:t>
      </w:r>
      <w:r w:rsidR="004C1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РАСПОДЕЛУ СРЕДСТАВА – ПРОГРАМИ У ОБЛАСТИ КУЛТУРЕ</w:t>
      </w:r>
    </w:p>
    <w:p w:rsidR="0042745F" w:rsidRDefault="0042745F" w:rsidP="004274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1D86" w:rsidRDefault="00221D86" w:rsidP="00D872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745F">
        <w:rPr>
          <w:rFonts w:ascii="Times New Roman" w:hAnsi="Times New Roman" w:cs="Times New Roman"/>
          <w:b/>
          <w:sz w:val="24"/>
          <w:szCs w:val="24"/>
          <w:lang w:val="sr-Cyrl-RS"/>
        </w:rPr>
        <w:t>Комисија своју оцену, усаглашену на основу појединачних оцена које је сваки члан Комисије извршио појединачно исказује кроз следећу табелу:</w:t>
      </w:r>
    </w:p>
    <w:tbl>
      <w:tblPr>
        <w:tblStyle w:val="GridTable5Dark-Accent1"/>
        <w:tblW w:w="5000" w:type="pct"/>
        <w:tblLayout w:type="fixed"/>
        <w:tblLook w:val="04A0" w:firstRow="1" w:lastRow="0" w:firstColumn="1" w:lastColumn="0" w:noHBand="0" w:noVBand="1"/>
      </w:tblPr>
      <w:tblGrid>
        <w:gridCol w:w="631"/>
        <w:gridCol w:w="2120"/>
        <w:gridCol w:w="1752"/>
        <w:gridCol w:w="1420"/>
        <w:gridCol w:w="1091"/>
        <w:gridCol w:w="1710"/>
        <w:gridCol w:w="5225"/>
      </w:tblGrid>
      <w:tr w:rsidR="00AC0D80" w:rsidRPr="00182495" w:rsidTr="00182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РБР</w:t>
            </w:r>
          </w:p>
        </w:tc>
        <w:tc>
          <w:tcPr>
            <w:tcW w:w="760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ПОДНОСИОЦА</w:t>
            </w:r>
          </w:p>
        </w:tc>
        <w:tc>
          <w:tcPr>
            <w:tcW w:w="628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509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ТРАЖЕНА СРЕДСТВА </w:t>
            </w:r>
          </w:p>
        </w:tc>
        <w:tc>
          <w:tcPr>
            <w:tcW w:w="391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БОДОВИ</w:t>
            </w:r>
          </w:p>
        </w:tc>
        <w:tc>
          <w:tcPr>
            <w:tcW w:w="613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ПРЕДЛОЖЕНА СРЕДСТВА</w:t>
            </w:r>
          </w:p>
        </w:tc>
        <w:tc>
          <w:tcPr>
            <w:tcW w:w="1873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B2260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ОБРАЗЛОЖЕЊЕ ОЦЕНЕ</w:t>
            </w:r>
          </w:p>
        </w:tc>
      </w:tr>
      <w:tr w:rsidR="00645A2B" w:rsidRPr="00182495" w:rsidTr="00182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Књижевни клуб " Момчило Настасијевић"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Г.Милановац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Рудничка врела 2024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194,000.00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52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645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Књижевно удружење на територији општине које своје активности остварује кроз књижевни конкурс и збирке радова својих чланова. У предложеном пројекту планира објављивање зборника Рудничка врела 2024, организацију Фестивала кратког афоризма, књижевне вечери. Активности удружење спроводи уз подршку Библиотеке „Браћа Настасијевић“</w:t>
            </w:r>
          </w:p>
          <w:p w:rsidR="00B2260F" w:rsidRPr="00182495" w:rsidRDefault="00B2260F" w:rsidP="00B226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је већином усклађен са општим интересом у култури и циљевима и приоритетима конкурса, предлагач делом поседује  стручне капацитете и  неопходне ресурсе да га спроведе јер се ослања и на локалне установе културе. Предлог пројекта традиционално се везује за манифестације и књижевне програме препознатљиве за ово удружење без веће инвентивности. Буџет слабо разрађен, делом усклађен са планом активности, у највећој мери се ослања на јавна средства. Имајући у виду број учесника и укључене актере из локалне заједнице оцењује се да је степен утицаја пројекта на квалитет културног живота заједнице средњег нивоа.</w:t>
            </w:r>
          </w:p>
        </w:tc>
      </w:tr>
      <w:tr w:rsidR="00645A2B" w:rsidRPr="00182495" w:rsidTr="00182495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Удружење радника уметника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С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рбије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Радници уметници 2024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191,100.00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52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B226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Удружење је присутно и препознати у локалној заједници и широм Србије и региона и негује аутентичан концепт, непрофитан и сконцентрисан на неговање, развијање и презентовање креативног и уметничког рада аматерских уметника. Удружење радника уметника Србије јединствено је по броју активности и учешћу чланова у области старих заната, аматерске сликарске и примењене уметности, рестаурације и песништва. Активности и у 2024. години укључују учешће на великом броју манифестација, традиционално окупљање код „Камена љубави“...Буџетске ставке су углавном везане за набавку репроматеријала за уметнике према потребама, те се пројекат подржава у том делу.</w:t>
            </w:r>
          </w:p>
        </w:tc>
      </w:tr>
      <w:tr w:rsidR="00645A2B" w:rsidRPr="00182495" w:rsidTr="00182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3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Удружење стваралаца ликовне и примењене уметности и традиционалних заната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Руднички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идици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Аматерски ликовни видици 2024.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526,750.00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40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FA15F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Пројекат је усмерен на афирмацију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 подстицање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аматерског уметничког стваралаштва. Активности на територији општине Горњи Милановац предвиђају организацију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Тројичке ликовне колоније,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сликарск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е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колонију  на Руднику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 уметничких радионица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„кад се руке сложе“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ројекат је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већином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усклађен са општим интересом у култури и циљевима и приоритетима конкурса.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редлагач 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делом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поседује стручне капацитете и  неопходне ресурсе да га спроведе.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Пројекат је већ традиционално везан за одређене устаљене манифестације, а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буџет је веома амбициозно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замишљен у погледу броја учесника и потребних средстава рада. С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тепен утицаја пројекта на квалитет културног живота заједнице оцењен је као средњи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Комисија предлаже да се пројект делом подржи у делу набав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репроматеријала за колоније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645A2B" w:rsidRPr="00182495" w:rsidTr="0018249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Културно-уметничко друштво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Шумадија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"КУД Шумадија - Баштине културне традиције темељи су за будућност"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1,334,000.00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67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FA15F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КУД Шумадија највећи је културно-уметнички ансабл у Горњем Милановцу са најширом старосном групом учесника, односно чланова ансамбла од предшколског до сениорског узраста. Најзначајније је то што ансамбл активно остварује програм и на сеоском подручју, чиме се доприноси деконцентрацији културног садржаја и широј понуди активности посебно за младе. Уметничке компетенције носилаца активности признате су и ван граница земље јер је ансамбл сталан учесник великог броја фести</w:t>
            </w:r>
            <w:r w:rsidR="001255CD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вала, семинара и приредби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земљи и ван ње. </w:t>
            </w:r>
          </w:p>
          <w:p w:rsidR="001255CD" w:rsidRPr="00182495" w:rsidRDefault="001255CD" w:rsidP="001255CD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је  у потпуности усклађен са општим интересом у култури и циљевима и приоритетима конкурса, предлагач  поседује  стручне капацитете и  неопходне ресурсе да га спроведе, предлог пројекта има квалитета, али не и посебне иновативности. Буџет није претерано разрађен, усмерен је углавном на набавку ношњи и организацију превоза на турнеје КУД-а као ставку која је највећи трошак за учеснике. Степен утицаја пројекта на квалитет културног живота заједнице оцењен је као висок.</w:t>
            </w:r>
          </w:p>
        </w:tc>
      </w:tr>
      <w:tr w:rsidR="00645A2B" w:rsidRPr="00182495" w:rsidTr="00182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Богати легат искрених стваралаца Србије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Седми фестивал камерне музике БЛИСС, Искра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1,009,000.00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30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385B5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Предложени пројекат је усклађен са инетресом у култури грађана општине Горњи Милановац. Као уметнички производ нуди </w:t>
            </w:r>
            <w:r w:rsidR="001255CD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фестивал камерне музике у Горњем Милановцу под називом „</w:t>
            </w:r>
            <w:r w:rsidR="001255CD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ИСКРА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 у четири тематски повезана концертна облика (</w:t>
            </w:r>
            <w:r w:rsidR="001255CD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Чаролије, Звука, Снаге, пламена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). </w:t>
            </w:r>
            <w:r w:rsidR="001255CD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Оцењује се да је пројекат квалитетан, али се ослања у потпуности на ангажоване ресурсе (оперативне и персоналне), са веом</w:t>
            </w:r>
            <w:r w:rsidR="00385B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 амбициозно разрађеним и великим </w:t>
            </w:r>
            <w:r w:rsidR="00385B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буџетом. Предлаже се сразмерна подршка у делу који се односи на део персоналних трошкова и смештаја учесника.</w:t>
            </w:r>
          </w:p>
        </w:tc>
      </w:tr>
      <w:tr w:rsidR="00645A2B" w:rsidRPr="00182495" w:rsidTr="00182495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6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Милановачко позориште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Програмске активности Милановачког позоришта у 2024. години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2,201,000.00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41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385B53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Удружење остварује циљеве у области позоришне уметности (стваралаштво, продукција и интерпретација). Предлогом пројекта планира се организација локалног позоришног фестивала – сусрета аматерских позоришта „Таковске цвети </w:t>
            </w:r>
            <w:r w:rsidR="00385B53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2024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“, наступи ансамбла позоришта </w:t>
            </w:r>
            <w:r w:rsidR="00385B53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 земљи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међународном плану. Комисија предлаже да се пројекат подржи у делу који се односи на организацију фестивала "Таковске цвети" као манифестације којом се непосредно остварује јавни интерес грађана општине у области културе</w:t>
            </w:r>
            <w:r w:rsidR="00385B53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45A2B" w:rsidRPr="00182495" w:rsidTr="00182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Изворна група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Црнућанка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Подмлађивање, едукација изворне групе Црнућанка и систематизација грађе њеног историјата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663,104.00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60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34372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Предложени пројекат је усклађен са инетресом у култури грађана општине Горњи Милановац  Изворна група Црнућанка најстарије је удружење у области музике на територији наше општине</w:t>
            </w:r>
            <w:r w:rsidR="00385B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које је део националне баштине Републике Србије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Учесници имају све стручне и квалитативне компетенције и до сада су дуги низ годинама успешно реализовали програме у суфинанасирању наше општине. </w:t>
            </w:r>
            <w:r w:rsidR="00385B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Буџет пројекта 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 до</w:t>
            </w:r>
            <w:r w:rsidR="00385B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вољно разрађен и усклађен са активностима пројекта. 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утицаја пројекта на квалитет културног живота заједнице оцењен је као значајан.</w:t>
            </w:r>
          </w:p>
        </w:tc>
      </w:tr>
      <w:tr w:rsidR="00645A2B" w:rsidRPr="00182495" w:rsidTr="0018249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Удружење "Салса Милано"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Салса Милано 2024.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70,000.00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100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343721" w:rsidP="00343721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удружења које се први пут појављује као предлагач на општинском конкурсу. Предлаже програм који до сада није био заступљен на територији наше општине пошто у области плеса имамо подржана само удружења у области традиционалног плеса. Имајући у виду мале трошкове  за реализацију, иновативност и понуду нечег новог у културном животу заједнице, пројекат се подржава у целини.</w:t>
            </w:r>
          </w:p>
        </w:tc>
      </w:tr>
      <w:tr w:rsidR="00645A2B" w:rsidRPr="00182495" w:rsidTr="00182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Књижевно друштво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Смотра књижевног стваралаштва српског језичког подручја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86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34372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КД Запис 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годинама егзистира као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удружење у области књижевности у општини Горњи Милановац кроз 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препознатљиву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манифестацију Записових лирских кругова и издавања летописа који прате годишњи рад удружења.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Удружење има персоналне, али не и материјалне ресурсе да самостално спроводи програм у делу издавања летописа.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Буџет је усмерен искључиво на издавање летописа. </w:t>
            </w:r>
          </w:p>
        </w:tc>
      </w:tr>
      <w:tr w:rsidR="00B2260F" w:rsidRPr="00182495" w:rsidTr="0018249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2260F" w:rsidRPr="00182495" w:rsidRDefault="00B2260F" w:rsidP="00B226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10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260F" w:rsidRPr="00182495" w:rsidRDefault="00B2260F" w:rsidP="00B2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Драмски студио за децу и младе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 ХЕПИ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260F" w:rsidRPr="00182495" w:rsidRDefault="00B2260F" w:rsidP="00B2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Луткарско позориште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260F" w:rsidRPr="00182495" w:rsidRDefault="00B2260F" w:rsidP="00B2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260F" w:rsidRPr="00182495" w:rsidRDefault="00B2260F" w:rsidP="00B2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14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260F" w:rsidRPr="00182495" w:rsidRDefault="00B2260F" w:rsidP="00B2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2260F" w:rsidRPr="00182495" w:rsidRDefault="00B2260F" w:rsidP="00AC194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је усмерен на младе и подстицај њиховог уметничког изражаја кроз драмски покрет и глуму.</w:t>
            </w:r>
            <w:r w:rsidR="00AC194A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Упркос доброј идеји, о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вога пута у потпун</w:t>
            </w:r>
            <w:r w:rsidR="00AC194A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сти се ослања на спољне ресурсе које удружење планира да ангажује за </w:t>
            </w:r>
            <w:r w:rsidR="00AC194A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реализацију активности (текст, режија, костими, техничка пдршка). Због тога се оцењује да предлагач  не ангажује у довољној мери своје стручне капацитете и  неопходне ресурсе да га спроведе јер се целокупан предлог буџета неразрађен и састоји се искључиво од трошкова услуга, те се предлаже само делимична подршка.</w:t>
            </w:r>
          </w:p>
        </w:tc>
      </w:tr>
      <w:tr w:rsidR="00645A2B" w:rsidRPr="00182495" w:rsidTr="00182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Удружење "Рекултиватор"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 Mystic festival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1,810,000.00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28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AC194A" w:rsidP="002853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Фестивал је препознатљив део</w:t>
            </w:r>
            <w:r w:rsidR="00645A2B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урбаног идентита Горњег Милановца. Одвија се у природи, окупља 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посетиоце</w:t>
            </w:r>
            <w:r w:rsidR="00645A2B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 земље и света и даје музичку понуду реге музике уз еко-френдли концепт и промовисање очувања животне средине. Овогодишњи програм представља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="00645A2B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по реду фестивал и предвиђа трошкове за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ангажман извођача, њихов смештај,</w:t>
            </w:r>
            <w:r w:rsidR="00645A2B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уређење и обезбеђење самог фестивалског простора, промоцију и организацију фестивала. 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Имајући у виду амбициозно постављене трошкове,  фестивал се подржава делимично, ценећи допринос културном животу заједнице али и чињеницу да се значајни ресурси улажу годинама и мимо директног финанасирања фестивала везано за комунално опремање простора.</w:t>
            </w:r>
          </w:p>
        </w:tc>
      </w:tr>
      <w:tr w:rsidR="00645A2B" w:rsidRPr="00182495" w:rsidTr="0018249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Српски фестивал светске музике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Српски фестивал светске музике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2024.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2,000,000.00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100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2,000,000.00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28536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Српски фестивал светске музике је 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један од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бренд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Горњег Милановца, проистекао из међународне, мултикултуралне и историјске сарадње Норвешке и Србије и братских општина Мушјен и Горњи Милановац. 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Фестивал подржава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размен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људи, идеја и уметности кроз  фестивал који промовише културу различитости, сарадњу, толеранцију и пријатељство и  нуди културни садржај који има централно место у културној понуди нашег града. Део је свечаности обележавања Дан општине и има више значајних извора финанасирања. Поред концерта на Тргу Кнеза Михаила, Фестивал нуди читав низ других садржаја у сарадњи са с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вим локалним установама културе.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Имајући у виду његову величину. број учесника и локални значај, Комисија предлаже да се овај пројекат подржи у целини.</w:t>
            </w:r>
          </w:p>
        </w:tc>
      </w:tr>
      <w:tr w:rsidR="00645A2B" w:rsidRPr="00182495" w:rsidTr="00182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 ФОКУС 1853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"Од дивљег поља до модерног града"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67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28602F" w:rsidP="0008198C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удружења које се први пут појављује на конкурсу у овој области и нуди програм у области визуелне уметности – изложбу фотографија са историјском темом настанка и развоја нашег града. Имајући у виду иновативни приступ, понуду новог садржаја на културној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мапи нашег града и релативно ниске трошкове финанасирања, пројекат се подржава у највећем делу</w:t>
            </w:r>
            <w:r w:rsidR="0008198C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Оцена Комисије је да се </w:t>
            </w:r>
            <w:r w:rsidR="0008198C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као предимензионирани  не могу делом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прихватити</w:t>
            </w:r>
            <w:r w:rsidR="0008198C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пре персонални трошкови, као ни индиректни трошкови електричне енергије.</w:t>
            </w:r>
          </w:p>
        </w:tc>
      </w:tr>
      <w:tr w:rsidR="0008198C" w:rsidRPr="00182495" w:rsidTr="00182495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8198C" w:rsidRPr="00182495" w:rsidRDefault="0008198C" w:rsidP="000819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14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Удружење "Сабор виолиниста Србије"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Организација 6. Сабора виолиниста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Прањани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4,000,000.00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100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4,000,000.00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Сабор виолиниста Србије постао је један од препознатљивих манифестација општине Горњи Милановац, који има велики број корисника са и ван територије општине Горњи Милановац. Уз финанасијску подршку Министарства културе,  привреде, тражи се и финансијска подршка локалне самоуправе. Фестивал има културни, друштвени и привредни значај за локално становништво, посебно у ободним, брдско-планинским деловима општине који су удаљени од ресусра центра.. Имајући у виду његову величину. број учесника и локални значај, Комисија предлаже да се овај пројекат подржи у целини.</w:t>
            </w:r>
          </w:p>
        </w:tc>
      </w:tr>
      <w:tr w:rsidR="0008198C" w:rsidRPr="00182495" w:rsidTr="00182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8198C" w:rsidRPr="00182495" w:rsidRDefault="0008198C" w:rsidP="000819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Удружење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Наслеђе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КАМЕНЕ КЊИГЕ ПРЕДАКА: стари надгробни споменици, крајпуташи и каменоресци рудничко-таковског краја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75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8198C" w:rsidRPr="00182495" w:rsidRDefault="0008198C" w:rsidP="006F375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Предложени пројекат планира израду фото архиве материјалног и нематеријалног културног наслеђа рудничко-таковског краја у домену старих надгробних споменика и крајпуташа са ликовним, литерреарним и фактографски значајним садржајем. Удружење своје персоналне ресурсе у потпуности нуди волонтерски, а потражује само средства за израду фотографија, </w:t>
            </w:r>
            <w:r w:rsidR="006F37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одржавање и обнову опреме и превоз/исхрану на терену.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Средства која су до сада користили уредно су оправдали. </w:t>
            </w:r>
            <w:r w:rsidR="006F37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Буџет је разрађен, удружење располаже персоналним ресурсима за реализацију. Пројекат има квалитет и иновативност, па се предлаже да се подржи у навећој мери.</w:t>
            </w:r>
          </w:p>
        </w:tc>
      </w:tr>
      <w:tr w:rsidR="0008198C" w:rsidRPr="00182495" w:rsidTr="0018249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8198C" w:rsidRPr="00182495" w:rsidRDefault="0008198C" w:rsidP="000819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НАСТеатар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Премијера српско-руске представе</w:t>
            </w:r>
          </w:p>
        </w:tc>
        <w:tc>
          <w:tcPr>
            <w:tcW w:w="5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970,000.00      </w:t>
            </w:r>
          </w:p>
        </w:tc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15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150,000.00      </w:t>
            </w:r>
          </w:p>
        </w:tc>
        <w:tc>
          <w:tcPr>
            <w:tcW w:w="1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8198C" w:rsidRPr="00182495" w:rsidRDefault="006F3753" w:rsidP="00F541A7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је веома амбицозно </w:t>
            </w:r>
            <w:r w:rsidR="00F541A7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замишљен као п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остављање и премијер</w:t>
            </w:r>
            <w:r w:rsidR="00F541A7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ауторске представе. Упркос неспорном квалитету, оцењује се да је домет представе више усмерен на општу популацију. Представа темом није везана за Горњи Милановац и није усмерана на гледаоце искључиво наше општине, нити као реалозаторе планира аматере/професионалце из Горњег Милановца из</w:t>
            </w:r>
            <w:r w:rsidR="00F541A7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узев самог заступника удружења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Пројекат има изузетно високе перосоналне трошкове</w:t>
            </w:r>
            <w:r w:rsidR="00F541A7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планира ангажман професионалних глумаца, редитеља, сценографа, костимографа, композитора, светло и тон мајстора, као и комплетне трошкове сценографије и костимографије. С тим у вези оцењује се да је пројекат само делом усклађен </w:t>
            </w:r>
            <w:r w:rsidR="00F541A7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са општим интересом у култури и циљевима и приоритетима конкурса , предлагач  у највећој мери ангажује реализаторе, буџетом планира комплетне људске ресурсе и ослања се у највећој мери на локалну самоуправу као извор финанасирања иако пројекат нема јасно видљив локални карактер и значај, те се предлаже само делимична подршка.</w:t>
            </w:r>
          </w:p>
        </w:tc>
      </w:tr>
    </w:tbl>
    <w:p w:rsidR="0042745F" w:rsidRDefault="0042745F" w:rsidP="004274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НИСУ УЗЕТЕ У РАЗМАТРАЊЕ СЛЕДЕЋЕ ПРИЈАВЕ:</w:t>
      </w:r>
    </w:p>
    <w:p w:rsidR="0058716B" w:rsidRPr="0058716B" w:rsidRDefault="0042745F" w:rsidP="0078509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74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2745F">
        <w:rPr>
          <w:rFonts w:ascii="Times New Roman" w:hAnsi="Times New Roman" w:cs="Times New Roman"/>
          <w:sz w:val="24"/>
          <w:szCs w:val="24"/>
          <w:lang w:val="sr-Cyrl-RS"/>
        </w:rPr>
        <w:t>Удружења „Породица бистрих потока“, Брезовица – Рудник, пријава</w:t>
      </w:r>
      <w:r w:rsidRPr="004274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2745F">
        <w:rPr>
          <w:rFonts w:ascii="Times New Roman" w:hAnsi="Times New Roman" w:cs="Times New Roman"/>
          <w:sz w:val="24"/>
          <w:szCs w:val="24"/>
          <w:lang w:val="sr-Cyrl-RS"/>
        </w:rPr>
        <w:t>бр. 4-03-401-279/2024 од 11.03.2024. године</w:t>
      </w:r>
      <w:r w:rsidRPr="004274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2745F" w:rsidRDefault="0042745F" w:rsidP="0058716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745F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  <w:r w:rsidRPr="0042745F">
        <w:rPr>
          <w:rFonts w:ascii="Times New Roman" w:hAnsi="Times New Roman" w:cs="Times New Roman"/>
          <w:sz w:val="24"/>
          <w:szCs w:val="24"/>
          <w:lang w:val="sr-Cyrl-RS"/>
        </w:rPr>
        <w:t>: Пријава је подента након истека конкурсног рока. Предлог за повраћај у пређашње стање не садржи доказе за разлоге наведене у предлогу, нити је штетни догађај који је описан временски повезан са роком за подношење предлога (изјава о рушењу објекта дата је 19.10.2023. године, а рок за пријаву је био 02.02-04.03.2024. године.</w:t>
      </w:r>
    </w:p>
    <w:p w:rsidR="0042745F" w:rsidRPr="0042745F" w:rsidRDefault="0042745F" w:rsidP="0078509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745F">
        <w:rPr>
          <w:rFonts w:ascii="Times New Roman" w:hAnsi="Times New Roman" w:cs="Times New Roman"/>
          <w:sz w:val="24"/>
          <w:szCs w:val="24"/>
          <w:lang w:val="sr-Cyrl-RS"/>
        </w:rPr>
        <w:t>Удружења „Милановачки велнес“, са седиштем у Горњем Милановцу, Николе Луњевице 9/16, бр. 4-03-401-210 од 01.03.2024. године</w:t>
      </w:r>
    </w:p>
    <w:p w:rsidR="0042745F" w:rsidRDefault="0042745F" w:rsidP="004274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0084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Ово удружење не испуњава услове конкурса у складу са ставом </w:t>
      </w:r>
      <w:r w:rsidRPr="0024113D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. јер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5D0084">
        <w:rPr>
          <w:rFonts w:ascii="Times New Roman" w:hAnsi="Times New Roman" w:cs="Times New Roman"/>
          <w:sz w:val="24"/>
          <w:szCs w:val="24"/>
          <w:lang w:val="sr-Cyrl-RS"/>
        </w:rPr>
        <w:t xml:space="preserve">циљеви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предложеног програма не</w:t>
      </w:r>
      <w:r w:rsidRPr="005D0084">
        <w:rPr>
          <w:rFonts w:ascii="Times New Roman" w:hAnsi="Times New Roman" w:cs="Times New Roman"/>
          <w:sz w:val="24"/>
          <w:szCs w:val="24"/>
          <w:lang w:val="sr-Cyrl-RS"/>
        </w:rPr>
        <w:t xml:space="preserve"> реализују у области од јавног интереса у оквиру које ко</w:t>
      </w:r>
      <w:r>
        <w:rPr>
          <w:rFonts w:ascii="Times New Roman" w:hAnsi="Times New Roman" w:cs="Times New Roman"/>
          <w:sz w:val="24"/>
          <w:szCs w:val="24"/>
          <w:lang w:val="sr-Cyrl-RS"/>
        </w:rPr>
        <w:t>нкуришу за реализацију програма. Конкурисали су за област културе, а понудили програм који је везан за развој еко – туризма.</w:t>
      </w:r>
    </w:p>
    <w:p w:rsidR="0042745F" w:rsidRPr="00C43431" w:rsidRDefault="0042745F" w:rsidP="0042745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жена п</w:t>
      </w:r>
      <w:r w:rsidRPr="005D0084">
        <w:rPr>
          <w:rFonts w:ascii="Times New Roman" w:hAnsi="Times New Roman" w:cs="Times New Roman"/>
          <w:sz w:val="24"/>
          <w:szCs w:val="24"/>
          <w:lang w:val="sr-Cyrl-RS"/>
        </w:rPr>
        <w:t xml:space="preserve">редузетница Шумадије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0084">
        <w:rPr>
          <w:rFonts w:ascii="Times New Roman" w:hAnsi="Times New Roman" w:cs="Times New Roman"/>
          <w:sz w:val="24"/>
          <w:szCs w:val="24"/>
          <w:lang w:val="sr-Cyrl-RS"/>
        </w:rPr>
        <w:t xml:space="preserve"> Западне Србије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, са седиштем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Горњем Милановцу, </w:t>
      </w:r>
      <w:r w:rsidRPr="005D0084">
        <w:rPr>
          <w:rFonts w:ascii="Times New Roman" w:hAnsi="Times New Roman" w:cs="Times New Roman"/>
          <w:sz w:val="24"/>
          <w:szCs w:val="24"/>
          <w:lang w:val="sr-Cyrl-RS"/>
        </w:rPr>
        <w:t xml:space="preserve">Кнеза Александра Карађорђевића 104/11,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бр.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 4-03-401-</w:t>
      </w:r>
      <w:r>
        <w:rPr>
          <w:rFonts w:ascii="Times New Roman" w:hAnsi="Times New Roman" w:cs="Times New Roman"/>
          <w:sz w:val="24"/>
          <w:szCs w:val="24"/>
          <w:lang w:val="sr-Cyrl-RS"/>
        </w:rPr>
        <w:t>211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01.03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>.2024. године</w:t>
      </w:r>
      <w:r w:rsidRPr="00C434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2745F" w:rsidRDefault="0042745F" w:rsidP="004274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0084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Ово удружење не испуњава услове конкурса у складу са ставом </w:t>
      </w:r>
      <w:r w:rsidRPr="0024113D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. јер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5D0084">
        <w:rPr>
          <w:rFonts w:ascii="Times New Roman" w:hAnsi="Times New Roman" w:cs="Times New Roman"/>
          <w:sz w:val="24"/>
          <w:szCs w:val="24"/>
          <w:lang w:val="sr-Cyrl-RS"/>
        </w:rPr>
        <w:t xml:space="preserve">циљеви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предложеног програма не</w:t>
      </w:r>
      <w:r w:rsidRPr="005D0084">
        <w:rPr>
          <w:rFonts w:ascii="Times New Roman" w:hAnsi="Times New Roman" w:cs="Times New Roman"/>
          <w:sz w:val="24"/>
          <w:szCs w:val="24"/>
          <w:lang w:val="sr-Cyrl-RS"/>
        </w:rPr>
        <w:t xml:space="preserve"> реализују у области од јавног интереса у оквиру које ко</w:t>
      </w:r>
      <w:r>
        <w:rPr>
          <w:rFonts w:ascii="Times New Roman" w:hAnsi="Times New Roman" w:cs="Times New Roman"/>
          <w:sz w:val="24"/>
          <w:szCs w:val="24"/>
          <w:lang w:val="sr-Cyrl-RS"/>
        </w:rPr>
        <w:t>нкуришу за реализацију програма. Конкурисали су за област културе, а понудили програм који је везан за подстицај женском предузетништву.</w:t>
      </w:r>
    </w:p>
    <w:p w:rsidR="0042745F" w:rsidRPr="00C43431" w:rsidRDefault="0042745F" w:rsidP="0042745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>Кино култура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>, са седиштем у Београду, Господар Јованова 49, 11000 Београд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4-03-401-188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27.02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>.2024. године</w:t>
      </w:r>
      <w:r w:rsidRPr="00C434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2745F" w:rsidRDefault="0042745F" w:rsidP="004274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0084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Ово удружење не испуњава услове конкурса у складу са ставом </w:t>
      </w:r>
      <w:r w:rsidRPr="0024113D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 тачка 2. јер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 седиште ван територије општине али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увида у садржину конкурсне пријаве, 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не остварују програм од јавног интереса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кориснике са територије Општине. Наиме, предлог пројекта односи се на снимање пилот епизоде играног филма серије „Професори“ који има универзалну тему и намењен је општој публици, није тематски везан за Горњи Милановац нити га кроз кинематографску форму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 актуелно или историјски. </w:t>
      </w:r>
    </w:p>
    <w:p w:rsidR="0042745F" w:rsidRPr="00C43431" w:rsidRDefault="0042745F" w:rsidP="0042745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</w:t>
      </w:r>
      <w:r w:rsidRPr="00E97167">
        <w:rPr>
          <w:rFonts w:ascii="Times New Roman" w:hAnsi="Times New Roman" w:cs="Times New Roman"/>
          <w:sz w:val="24"/>
          <w:szCs w:val="24"/>
          <w:lang w:val="sr-Cyrl-RS"/>
        </w:rPr>
        <w:t>"Краљица Драгиња"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, са седиштем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Горњем Милановцу, </w:t>
      </w:r>
      <w:r w:rsidRPr="00E97167">
        <w:rPr>
          <w:rFonts w:ascii="Times New Roman" w:hAnsi="Times New Roman" w:cs="Times New Roman"/>
          <w:sz w:val="24"/>
          <w:szCs w:val="24"/>
          <w:lang w:val="sr-Cyrl-RS"/>
        </w:rPr>
        <w:t>Курсулина 20б, 32300 Горњи Милановац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>4-03-401-</w:t>
      </w:r>
      <w:r>
        <w:rPr>
          <w:rFonts w:ascii="Times New Roman" w:hAnsi="Times New Roman" w:cs="Times New Roman"/>
          <w:sz w:val="24"/>
          <w:szCs w:val="24"/>
          <w:lang w:val="sr-Cyrl-RS"/>
        </w:rPr>
        <w:t>223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04.03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>.2024. године</w:t>
      </w:r>
      <w:r w:rsidRPr="00C434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2745F" w:rsidRDefault="0042745F" w:rsidP="004274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0084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  <w:r w:rsidRPr="00C4343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Ово удружење не испуњава услове конкурса у складу са ставом </w:t>
      </w:r>
      <w:r w:rsidRPr="0024113D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4113D">
        <w:rPr>
          <w:rFonts w:ascii="Times New Roman" w:hAnsi="Times New Roman" w:cs="Times New Roman"/>
          <w:sz w:val="24"/>
          <w:szCs w:val="24"/>
          <w:lang w:val="sr-Cyrl-RS"/>
        </w:rPr>
        <w:t xml:space="preserve">. јер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доставило </w:t>
      </w:r>
      <w:r w:rsidRPr="00E97167">
        <w:rPr>
          <w:rFonts w:ascii="Times New Roman" w:hAnsi="Times New Roman" w:cs="Times New Roman"/>
          <w:sz w:val="24"/>
          <w:szCs w:val="24"/>
          <w:lang w:val="sr-Cyrl-RS"/>
        </w:rPr>
        <w:t>уредан Извештај о наменском трошењу средстава за реализацију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2023. години. Провером кроз евиденцију Општинску управу констатује се да удружење уопште није повукло средства у 2023. години нити доставило писани извештај о разлозима нереализације одобреног програма.</w:t>
      </w:r>
    </w:p>
    <w:p w:rsidR="0042745F" w:rsidRDefault="0042745F" w:rsidP="00F541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745F" w:rsidRDefault="0042745F" w:rsidP="00F541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745F" w:rsidRPr="00E834A2" w:rsidRDefault="0042745F" w:rsidP="00F541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34A2">
        <w:rPr>
          <w:rFonts w:ascii="Times New Roman" w:hAnsi="Times New Roman" w:cs="Times New Roman"/>
          <w:b/>
          <w:sz w:val="24"/>
          <w:szCs w:val="24"/>
          <w:lang w:val="sr-Cyrl-RS"/>
        </w:rPr>
        <w:t>Сви подносиоци имају :</w:t>
      </w:r>
    </w:p>
    <w:p w:rsidR="0042745F" w:rsidRDefault="00B5128D" w:rsidP="0042745F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1A7">
        <w:rPr>
          <w:rFonts w:ascii="Times New Roman" w:hAnsi="Times New Roman" w:cs="Times New Roman"/>
          <w:sz w:val="24"/>
          <w:szCs w:val="24"/>
          <w:lang w:val="sr-Cyrl-RS"/>
        </w:rPr>
        <w:t>право увида у поднете пријаве и приложену документацију - у року од три радна дана од дана објављивања.</w:t>
      </w:r>
    </w:p>
    <w:p w:rsidR="00B5128D" w:rsidRPr="0042745F" w:rsidRDefault="00B5128D" w:rsidP="0042745F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745F">
        <w:rPr>
          <w:rFonts w:ascii="Times New Roman" w:hAnsi="Times New Roman" w:cs="Times New Roman"/>
          <w:sz w:val="24"/>
          <w:szCs w:val="24"/>
          <w:lang w:val="sr-Cyrl-RS"/>
        </w:rPr>
        <w:t>право писаног приговора на листу - у року од осам дана од дана објављивања</w:t>
      </w:r>
      <w:r w:rsidR="00F541A7" w:rsidRPr="0042745F">
        <w:rPr>
          <w:rFonts w:ascii="Times New Roman" w:hAnsi="Times New Roman" w:cs="Times New Roman"/>
          <w:sz w:val="24"/>
          <w:szCs w:val="24"/>
          <w:lang w:val="sr-Cyrl-RS"/>
        </w:rPr>
        <w:t xml:space="preserve"> искључиво</w:t>
      </w:r>
      <w:r w:rsidR="003C70F5" w:rsidRPr="0042745F">
        <w:rPr>
          <w:rFonts w:ascii="Times New Roman" w:hAnsi="Times New Roman" w:cs="Times New Roman"/>
          <w:sz w:val="24"/>
          <w:szCs w:val="24"/>
        </w:rPr>
        <w:t xml:space="preserve"> </w:t>
      </w:r>
      <w:r w:rsidR="003C70F5" w:rsidRPr="0042745F">
        <w:rPr>
          <w:rFonts w:ascii="Times New Roman" w:hAnsi="Times New Roman" w:cs="Times New Roman"/>
          <w:sz w:val="24"/>
          <w:szCs w:val="24"/>
          <w:lang w:val="sr-Cyrl-RS"/>
        </w:rPr>
        <w:t>подношењем приговора</w:t>
      </w:r>
      <w:r w:rsidR="00F541A7" w:rsidRPr="0042745F">
        <w:rPr>
          <w:rFonts w:ascii="Times New Roman" w:hAnsi="Times New Roman" w:cs="Times New Roman"/>
          <w:sz w:val="24"/>
          <w:szCs w:val="24"/>
          <w:lang w:val="sr-Cyrl-RS"/>
        </w:rPr>
        <w:t xml:space="preserve"> на електронску адресу </w:t>
      </w:r>
      <w:hyperlink r:id="rId8" w:history="1">
        <w:r w:rsidR="003C70F5" w:rsidRPr="0042745F">
          <w:rPr>
            <w:rStyle w:val="Hyperlink"/>
            <w:rFonts w:ascii="Times New Roman" w:hAnsi="Times New Roman" w:cs="Times New Roman"/>
            <w:sz w:val="24"/>
            <w:szCs w:val="24"/>
          </w:rPr>
          <w:t>pisarnica@gornjimilanovac.ls.gov.rs</w:t>
        </w:r>
      </w:hyperlink>
      <w:r w:rsidR="003C70F5" w:rsidRPr="00427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A7" w:rsidRDefault="00F541A7" w:rsidP="00D7567E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39D8" w:rsidRDefault="00D7567E" w:rsidP="004C16D8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D756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ОЦЕНУ ПРЕДЛОГА ПРОЈЕКАТА УДРУЖЕЊА У ОБЛАСТИ КУЛТУРЕ </w:t>
      </w:r>
    </w:p>
    <w:p w:rsidR="004C16D8" w:rsidRDefault="004139D8" w:rsidP="004C16D8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 ПРОГРАМА ЦРКАВА И ВЕРСКИХ ЗАЈЕДНИЦА</w:t>
      </w:r>
    </w:p>
    <w:p w:rsidR="00D7567E" w:rsidRDefault="00D7567E" w:rsidP="003A31C0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56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A31C0">
        <w:rPr>
          <w:rFonts w:ascii="Times New Roman" w:hAnsi="Times New Roman" w:cs="Times New Roman"/>
          <w:b/>
          <w:sz w:val="24"/>
          <w:szCs w:val="24"/>
          <w:lang w:val="sr-Cyrl-RS"/>
        </w:rPr>
        <w:t>бр</w:t>
      </w:r>
      <w:r w:rsidR="004C16D8">
        <w:rPr>
          <w:rFonts w:ascii="Times New Roman" w:hAnsi="Times New Roman" w:cs="Times New Roman"/>
          <w:b/>
          <w:sz w:val="24"/>
          <w:szCs w:val="24"/>
          <w:lang w:val="sr-Cyrl-RS"/>
        </w:rPr>
        <w:t>. 1</w:t>
      </w:r>
      <w:r w:rsidR="004C16D8" w:rsidRPr="004C16D8">
        <w:rPr>
          <w:rFonts w:ascii="Times New Roman" w:hAnsi="Times New Roman" w:cs="Times New Roman"/>
          <w:b/>
          <w:sz w:val="24"/>
          <w:szCs w:val="24"/>
          <w:lang w:val="sr-Cyrl-RS"/>
        </w:rPr>
        <w:t>-401-312/2024-1</w:t>
      </w:r>
      <w:r w:rsidR="004C1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A31C0">
        <w:rPr>
          <w:rFonts w:ascii="Times New Roman" w:hAnsi="Times New Roman" w:cs="Times New Roman"/>
          <w:b/>
          <w:sz w:val="24"/>
          <w:szCs w:val="24"/>
          <w:lang w:val="sr-Cyrl-RS"/>
        </w:rPr>
        <w:t>од</w:t>
      </w:r>
      <w:r w:rsidR="004C1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C16D8" w:rsidRPr="004C16D8">
        <w:rPr>
          <w:rFonts w:ascii="Times New Roman" w:hAnsi="Times New Roman" w:cs="Times New Roman"/>
          <w:b/>
          <w:sz w:val="24"/>
          <w:szCs w:val="24"/>
          <w:lang w:val="sr-Cyrl-RS"/>
        </w:rPr>
        <w:t>29.03.2024. године</w:t>
      </w:r>
    </w:p>
    <w:p w:rsidR="003A0D19" w:rsidRPr="00380428" w:rsidRDefault="003A0D19" w:rsidP="00D7567E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81"/>
        <w:gridCol w:w="2999"/>
        <w:gridCol w:w="1851"/>
        <w:gridCol w:w="1407"/>
        <w:gridCol w:w="4135"/>
      </w:tblGrid>
      <w:tr w:rsidR="005863B4" w:rsidRPr="00380428" w:rsidTr="0042745F">
        <w:tc>
          <w:tcPr>
            <w:tcW w:w="1141" w:type="pct"/>
          </w:tcPr>
          <w:p w:rsidR="005863B4" w:rsidRPr="00380428" w:rsidRDefault="003C70F5" w:rsidP="003C70F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Ранковић</w:t>
            </w:r>
            <w:r w:rsidR="0042745F" w:rsidRPr="003804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42745F"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с.р.</w:t>
            </w:r>
          </w:p>
        </w:tc>
        <w:tc>
          <w:tcPr>
            <w:tcW w:w="1210" w:type="pct"/>
            <w:gridSpan w:val="2"/>
          </w:tcPr>
          <w:p w:rsidR="005863B4" w:rsidRPr="00380428" w:rsidRDefault="003C70F5" w:rsidP="005863B4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Чаворовић</w:t>
            </w:r>
            <w:r w:rsidR="0042745F"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</w:t>
            </w:r>
          </w:p>
        </w:tc>
        <w:tc>
          <w:tcPr>
            <w:tcW w:w="1167" w:type="pct"/>
            <w:gridSpan w:val="2"/>
          </w:tcPr>
          <w:p w:rsidR="005863B4" w:rsidRPr="00380428" w:rsidRDefault="005863B4" w:rsidP="005863B4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Јовићевић</w:t>
            </w:r>
            <w:r w:rsidR="0042745F"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481" w:type="pct"/>
          </w:tcPr>
          <w:p w:rsidR="005863B4" w:rsidRPr="00380428" w:rsidRDefault="005863B4" w:rsidP="005863B4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Драгица Петровић</w:t>
            </w:r>
            <w:r w:rsidR="0042745F"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</w:tr>
      <w:tr w:rsidR="00D7567E" w:rsidRPr="00380428" w:rsidTr="0042745F">
        <w:tc>
          <w:tcPr>
            <w:tcW w:w="1277" w:type="pct"/>
            <w:gridSpan w:val="2"/>
          </w:tcPr>
          <w:p w:rsidR="00D7567E" w:rsidRPr="00380428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7" w:type="pct"/>
            <w:gridSpan w:val="2"/>
          </w:tcPr>
          <w:p w:rsidR="002A42B4" w:rsidRPr="00380428" w:rsidRDefault="002A42B4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42B4" w:rsidRPr="00380428" w:rsidRDefault="002A42B4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pct"/>
            <w:gridSpan w:val="2"/>
          </w:tcPr>
          <w:p w:rsidR="00D7567E" w:rsidRPr="00380428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7567E" w:rsidRPr="00380428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567E" w:rsidRPr="00380428" w:rsidTr="00380428">
        <w:trPr>
          <w:trHeight w:val="639"/>
        </w:trPr>
        <w:tc>
          <w:tcPr>
            <w:tcW w:w="1277" w:type="pct"/>
            <w:gridSpan w:val="2"/>
          </w:tcPr>
          <w:p w:rsidR="00D7567E" w:rsidRPr="00380428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Записник водила</w:t>
            </w:r>
          </w:p>
          <w:p w:rsidR="00D7567E" w:rsidRPr="00380428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Раловић</w:t>
            </w:r>
            <w:r w:rsidR="0042745F"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</w:t>
            </w:r>
          </w:p>
        </w:tc>
        <w:tc>
          <w:tcPr>
            <w:tcW w:w="1737" w:type="pct"/>
            <w:gridSpan w:val="2"/>
          </w:tcPr>
          <w:p w:rsidR="00D7567E" w:rsidRPr="00380428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pct"/>
            <w:gridSpan w:val="2"/>
          </w:tcPr>
          <w:p w:rsidR="00D7567E" w:rsidRPr="00380428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 КОМИСИЈЕ</w:t>
            </w:r>
          </w:p>
          <w:p w:rsidR="00D7567E" w:rsidRPr="00380428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Јадранка Достанић</w:t>
            </w:r>
            <w:r w:rsidR="0042745F" w:rsidRPr="00380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</w:tr>
      <w:bookmarkEnd w:id="0"/>
    </w:tbl>
    <w:p w:rsidR="00D7567E" w:rsidRPr="002A2378" w:rsidRDefault="00D7567E" w:rsidP="00115B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7567E" w:rsidRPr="002A2378" w:rsidSect="00182495">
      <w:pgSz w:w="16839" w:h="11907" w:orient="landscape" w:code="9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D8" w:rsidRDefault="003B34D8" w:rsidP="00DD4BB7">
      <w:pPr>
        <w:spacing w:after="0" w:line="240" w:lineRule="auto"/>
      </w:pPr>
      <w:r>
        <w:separator/>
      </w:r>
    </w:p>
  </w:endnote>
  <w:endnote w:type="continuationSeparator" w:id="0">
    <w:p w:rsidR="003B34D8" w:rsidRDefault="003B34D8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D8" w:rsidRDefault="003B34D8" w:rsidP="00DD4BB7">
      <w:pPr>
        <w:spacing w:after="0" w:line="240" w:lineRule="auto"/>
      </w:pPr>
      <w:r>
        <w:separator/>
      </w:r>
    </w:p>
  </w:footnote>
  <w:footnote w:type="continuationSeparator" w:id="0">
    <w:p w:rsidR="003B34D8" w:rsidRDefault="003B34D8" w:rsidP="00DD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B17"/>
    <w:multiLevelType w:val="hybridMultilevel"/>
    <w:tmpl w:val="E0C6A3CC"/>
    <w:lvl w:ilvl="0" w:tplc="3FFC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7F5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2CA8"/>
    <w:multiLevelType w:val="hybridMultilevel"/>
    <w:tmpl w:val="48345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06C0"/>
    <w:multiLevelType w:val="hybridMultilevel"/>
    <w:tmpl w:val="49469AAC"/>
    <w:lvl w:ilvl="0" w:tplc="90D6D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C7224"/>
    <w:multiLevelType w:val="hybridMultilevel"/>
    <w:tmpl w:val="B382EE86"/>
    <w:lvl w:ilvl="0" w:tplc="5AFE3D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F768E"/>
    <w:multiLevelType w:val="hybridMultilevel"/>
    <w:tmpl w:val="E7BA57A2"/>
    <w:lvl w:ilvl="0" w:tplc="6AC699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801DF0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CBF640C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65CCA948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BC64EA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C3CC18E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034BDD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8CC5CAA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C125B34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6">
    <w:nsid w:val="1BFC47AA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F4999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F28DD"/>
    <w:multiLevelType w:val="hybridMultilevel"/>
    <w:tmpl w:val="B8A4E682"/>
    <w:lvl w:ilvl="0" w:tplc="BD0C02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2ABD8C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186ADC5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D99A6BF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71E59C0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A21A3B6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6FD0107E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1BF4B998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158AAE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9">
    <w:nsid w:val="2585154D"/>
    <w:multiLevelType w:val="hybridMultilevel"/>
    <w:tmpl w:val="A6242F3A"/>
    <w:lvl w:ilvl="0" w:tplc="ED544D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B0A1C"/>
    <w:multiLevelType w:val="hybridMultilevel"/>
    <w:tmpl w:val="F5DE0C5E"/>
    <w:lvl w:ilvl="0" w:tplc="B7A4873C">
      <w:start w:val="1"/>
      <w:numFmt w:val="decimal"/>
      <w:lvlText w:val="%1.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4506DE8">
      <w:numFmt w:val="bullet"/>
      <w:lvlText w:val="•"/>
      <w:lvlJc w:val="left"/>
      <w:pPr>
        <w:ind w:left="1072" w:hanging="283"/>
      </w:pPr>
      <w:rPr>
        <w:rFonts w:hint="default"/>
      </w:rPr>
    </w:lvl>
    <w:lvl w:ilvl="2" w:tplc="F7566266">
      <w:numFmt w:val="bullet"/>
      <w:lvlText w:val="•"/>
      <w:lvlJc w:val="left"/>
      <w:pPr>
        <w:ind w:left="2024" w:hanging="283"/>
      </w:pPr>
      <w:rPr>
        <w:rFonts w:hint="default"/>
      </w:rPr>
    </w:lvl>
    <w:lvl w:ilvl="3" w:tplc="420E9964">
      <w:numFmt w:val="bullet"/>
      <w:lvlText w:val="•"/>
      <w:lvlJc w:val="left"/>
      <w:pPr>
        <w:ind w:left="2976" w:hanging="283"/>
      </w:pPr>
      <w:rPr>
        <w:rFonts w:hint="default"/>
      </w:rPr>
    </w:lvl>
    <w:lvl w:ilvl="4" w:tplc="2542DC54">
      <w:numFmt w:val="bullet"/>
      <w:lvlText w:val="•"/>
      <w:lvlJc w:val="left"/>
      <w:pPr>
        <w:ind w:left="3928" w:hanging="283"/>
      </w:pPr>
      <w:rPr>
        <w:rFonts w:hint="default"/>
      </w:rPr>
    </w:lvl>
    <w:lvl w:ilvl="5" w:tplc="1EC0FBDA">
      <w:numFmt w:val="bullet"/>
      <w:lvlText w:val="•"/>
      <w:lvlJc w:val="left"/>
      <w:pPr>
        <w:ind w:left="4880" w:hanging="283"/>
      </w:pPr>
      <w:rPr>
        <w:rFonts w:hint="default"/>
      </w:rPr>
    </w:lvl>
    <w:lvl w:ilvl="6" w:tplc="8A62418C">
      <w:numFmt w:val="bullet"/>
      <w:lvlText w:val="•"/>
      <w:lvlJc w:val="left"/>
      <w:pPr>
        <w:ind w:left="5832" w:hanging="283"/>
      </w:pPr>
      <w:rPr>
        <w:rFonts w:hint="default"/>
      </w:rPr>
    </w:lvl>
    <w:lvl w:ilvl="7" w:tplc="0BFACE52">
      <w:numFmt w:val="bullet"/>
      <w:lvlText w:val="•"/>
      <w:lvlJc w:val="left"/>
      <w:pPr>
        <w:ind w:left="6784" w:hanging="283"/>
      </w:pPr>
      <w:rPr>
        <w:rFonts w:hint="default"/>
      </w:rPr>
    </w:lvl>
    <w:lvl w:ilvl="8" w:tplc="A39C453A">
      <w:numFmt w:val="bullet"/>
      <w:lvlText w:val="•"/>
      <w:lvlJc w:val="left"/>
      <w:pPr>
        <w:ind w:left="7736" w:hanging="283"/>
      </w:pPr>
      <w:rPr>
        <w:rFonts w:hint="default"/>
      </w:rPr>
    </w:lvl>
  </w:abstractNum>
  <w:abstractNum w:abstractNumId="11">
    <w:nsid w:val="2B691DA0"/>
    <w:multiLevelType w:val="hybridMultilevel"/>
    <w:tmpl w:val="866696AA"/>
    <w:lvl w:ilvl="0" w:tplc="7B04B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309318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99B68A16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0930B374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C0F2A6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813C3EAE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15EE904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0DE8DFE4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CCA0AD10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2">
    <w:nsid w:val="2DFC4AA1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E1170A"/>
    <w:multiLevelType w:val="hybridMultilevel"/>
    <w:tmpl w:val="D5141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01F91"/>
    <w:multiLevelType w:val="hybridMultilevel"/>
    <w:tmpl w:val="86004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F1D5F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6">
    <w:nsid w:val="366F0240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3602"/>
    <w:multiLevelType w:val="hybridMultilevel"/>
    <w:tmpl w:val="80CC9C12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B2968"/>
    <w:multiLevelType w:val="hybridMultilevel"/>
    <w:tmpl w:val="B866A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4326E4"/>
    <w:multiLevelType w:val="hybridMultilevel"/>
    <w:tmpl w:val="6F0C86EC"/>
    <w:lvl w:ilvl="0" w:tplc="5AFE3D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1165A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B41DA"/>
    <w:multiLevelType w:val="hybridMultilevel"/>
    <w:tmpl w:val="1A0A3418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CB2F55"/>
    <w:multiLevelType w:val="hybridMultilevel"/>
    <w:tmpl w:val="361C4EA2"/>
    <w:lvl w:ilvl="0" w:tplc="ACD86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212CA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CE3E6C"/>
    <w:multiLevelType w:val="hybridMultilevel"/>
    <w:tmpl w:val="136EDAF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4694C"/>
    <w:multiLevelType w:val="hybridMultilevel"/>
    <w:tmpl w:val="9BE40D14"/>
    <w:lvl w:ilvl="0" w:tplc="EBC20F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01B76"/>
    <w:multiLevelType w:val="hybridMultilevel"/>
    <w:tmpl w:val="59CE8978"/>
    <w:lvl w:ilvl="0" w:tplc="23B072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92154A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025CBAAE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4044FE9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EFA2CADC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F368876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EBAF07A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36A092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696CDA9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28">
    <w:nsid w:val="62D42D76"/>
    <w:multiLevelType w:val="hybridMultilevel"/>
    <w:tmpl w:val="6D2CA508"/>
    <w:lvl w:ilvl="0" w:tplc="C9D807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4B94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FDC04D2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786E9116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8F0439F8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45892D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0C764A22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47F86DA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18A86BFE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29">
    <w:nsid w:val="663F405F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1E613C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272D7E"/>
    <w:multiLevelType w:val="hybridMultilevel"/>
    <w:tmpl w:val="F37EBC90"/>
    <w:lvl w:ilvl="0" w:tplc="27B6B9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AC2DA0"/>
    <w:multiLevelType w:val="hybridMultilevel"/>
    <w:tmpl w:val="01405BB0"/>
    <w:lvl w:ilvl="0" w:tplc="0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5"/>
  </w:num>
  <w:num w:numId="4">
    <w:abstractNumId w:val="12"/>
  </w:num>
  <w:num w:numId="5">
    <w:abstractNumId w:val="29"/>
  </w:num>
  <w:num w:numId="6">
    <w:abstractNumId w:val="13"/>
  </w:num>
  <w:num w:numId="7">
    <w:abstractNumId w:val="17"/>
  </w:num>
  <w:num w:numId="8">
    <w:abstractNumId w:val="24"/>
  </w:num>
  <w:num w:numId="9">
    <w:abstractNumId w:val="26"/>
  </w:num>
  <w:num w:numId="10">
    <w:abstractNumId w:val="23"/>
  </w:num>
  <w:num w:numId="11">
    <w:abstractNumId w:val="6"/>
  </w:num>
  <w:num w:numId="12">
    <w:abstractNumId w:val="15"/>
  </w:num>
  <w:num w:numId="13">
    <w:abstractNumId w:val="16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27"/>
  </w:num>
  <w:num w:numId="19">
    <w:abstractNumId w:val="28"/>
  </w:num>
  <w:num w:numId="20">
    <w:abstractNumId w:val="8"/>
  </w:num>
  <w:num w:numId="21">
    <w:abstractNumId w:val="9"/>
  </w:num>
  <w:num w:numId="22">
    <w:abstractNumId w:val="3"/>
  </w:num>
  <w:num w:numId="23">
    <w:abstractNumId w:val="14"/>
  </w:num>
  <w:num w:numId="24">
    <w:abstractNumId w:val="2"/>
  </w:num>
  <w:num w:numId="25">
    <w:abstractNumId w:val="20"/>
  </w:num>
  <w:num w:numId="26">
    <w:abstractNumId w:val="7"/>
  </w:num>
  <w:num w:numId="27">
    <w:abstractNumId w:val="22"/>
  </w:num>
  <w:num w:numId="28">
    <w:abstractNumId w:val="31"/>
  </w:num>
  <w:num w:numId="29">
    <w:abstractNumId w:val="32"/>
  </w:num>
  <w:num w:numId="30">
    <w:abstractNumId w:val="19"/>
  </w:num>
  <w:num w:numId="31">
    <w:abstractNumId w:val="10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AE"/>
    <w:rsid w:val="00010698"/>
    <w:rsid w:val="00014B85"/>
    <w:rsid w:val="00022F71"/>
    <w:rsid w:val="00025949"/>
    <w:rsid w:val="00042CB3"/>
    <w:rsid w:val="000455C3"/>
    <w:rsid w:val="00061F7C"/>
    <w:rsid w:val="0008198C"/>
    <w:rsid w:val="00081EF4"/>
    <w:rsid w:val="00095A52"/>
    <w:rsid w:val="000A7C0E"/>
    <w:rsid w:val="000B3D49"/>
    <w:rsid w:val="000C414A"/>
    <w:rsid w:val="000F4857"/>
    <w:rsid w:val="001026C6"/>
    <w:rsid w:val="00104A41"/>
    <w:rsid w:val="00115B3E"/>
    <w:rsid w:val="00115D2A"/>
    <w:rsid w:val="001255CD"/>
    <w:rsid w:val="001465AE"/>
    <w:rsid w:val="00152187"/>
    <w:rsid w:val="00182495"/>
    <w:rsid w:val="001B0270"/>
    <w:rsid w:val="001B4836"/>
    <w:rsid w:val="001D4130"/>
    <w:rsid w:val="001E2306"/>
    <w:rsid w:val="001F20E8"/>
    <w:rsid w:val="001F53B3"/>
    <w:rsid w:val="0021421E"/>
    <w:rsid w:val="00221D86"/>
    <w:rsid w:val="0024113D"/>
    <w:rsid w:val="00241F5B"/>
    <w:rsid w:val="00244292"/>
    <w:rsid w:val="00246D88"/>
    <w:rsid w:val="00282DAE"/>
    <w:rsid w:val="00285360"/>
    <w:rsid w:val="0028602F"/>
    <w:rsid w:val="002933E0"/>
    <w:rsid w:val="002A2378"/>
    <w:rsid w:val="002A42B4"/>
    <w:rsid w:val="002B62AC"/>
    <w:rsid w:val="002C4302"/>
    <w:rsid w:val="002E2267"/>
    <w:rsid w:val="002F64C7"/>
    <w:rsid w:val="003030EB"/>
    <w:rsid w:val="00320201"/>
    <w:rsid w:val="00322B2A"/>
    <w:rsid w:val="00341113"/>
    <w:rsid w:val="00343721"/>
    <w:rsid w:val="00355E82"/>
    <w:rsid w:val="003564DC"/>
    <w:rsid w:val="00380428"/>
    <w:rsid w:val="003810BB"/>
    <w:rsid w:val="00385B53"/>
    <w:rsid w:val="00395848"/>
    <w:rsid w:val="003A0D19"/>
    <w:rsid w:val="003A31C0"/>
    <w:rsid w:val="003A5652"/>
    <w:rsid w:val="003B34D8"/>
    <w:rsid w:val="003B5335"/>
    <w:rsid w:val="003C2CF5"/>
    <w:rsid w:val="003C70F5"/>
    <w:rsid w:val="003F1F23"/>
    <w:rsid w:val="003F3F2B"/>
    <w:rsid w:val="00404E4E"/>
    <w:rsid w:val="00406F39"/>
    <w:rsid w:val="00407A07"/>
    <w:rsid w:val="0041308F"/>
    <w:rsid w:val="004139D8"/>
    <w:rsid w:val="0042745F"/>
    <w:rsid w:val="0043479B"/>
    <w:rsid w:val="004401BD"/>
    <w:rsid w:val="004421F4"/>
    <w:rsid w:val="004470B2"/>
    <w:rsid w:val="0045555D"/>
    <w:rsid w:val="00481741"/>
    <w:rsid w:val="00486477"/>
    <w:rsid w:val="00495B16"/>
    <w:rsid w:val="004A4DEA"/>
    <w:rsid w:val="004A621D"/>
    <w:rsid w:val="004B20CB"/>
    <w:rsid w:val="004C16D8"/>
    <w:rsid w:val="004E561B"/>
    <w:rsid w:val="004F0CE2"/>
    <w:rsid w:val="004F7D17"/>
    <w:rsid w:val="005228DD"/>
    <w:rsid w:val="00540405"/>
    <w:rsid w:val="00585578"/>
    <w:rsid w:val="005863B4"/>
    <w:rsid w:val="0058716B"/>
    <w:rsid w:val="005B7022"/>
    <w:rsid w:val="005D0084"/>
    <w:rsid w:val="005E5AC9"/>
    <w:rsid w:val="005F241F"/>
    <w:rsid w:val="00607E0D"/>
    <w:rsid w:val="00645A2B"/>
    <w:rsid w:val="0065178E"/>
    <w:rsid w:val="006630E6"/>
    <w:rsid w:val="00665993"/>
    <w:rsid w:val="00685DE6"/>
    <w:rsid w:val="00686C63"/>
    <w:rsid w:val="00687A72"/>
    <w:rsid w:val="00692B50"/>
    <w:rsid w:val="006A4897"/>
    <w:rsid w:val="006C5D3E"/>
    <w:rsid w:val="006C6929"/>
    <w:rsid w:val="006C6DCB"/>
    <w:rsid w:val="006D125B"/>
    <w:rsid w:val="006E6732"/>
    <w:rsid w:val="006F3753"/>
    <w:rsid w:val="006F5157"/>
    <w:rsid w:val="00720D9C"/>
    <w:rsid w:val="00763ED2"/>
    <w:rsid w:val="00766C35"/>
    <w:rsid w:val="00783F6D"/>
    <w:rsid w:val="00795833"/>
    <w:rsid w:val="007A0C69"/>
    <w:rsid w:val="007B5C92"/>
    <w:rsid w:val="007E25F8"/>
    <w:rsid w:val="00820184"/>
    <w:rsid w:val="00867A7B"/>
    <w:rsid w:val="00871073"/>
    <w:rsid w:val="0087707D"/>
    <w:rsid w:val="00880525"/>
    <w:rsid w:val="00882AAB"/>
    <w:rsid w:val="00886EF2"/>
    <w:rsid w:val="0089027D"/>
    <w:rsid w:val="008A4A27"/>
    <w:rsid w:val="008B28F2"/>
    <w:rsid w:val="008B47E0"/>
    <w:rsid w:val="008C12FF"/>
    <w:rsid w:val="008C29A2"/>
    <w:rsid w:val="008D07E6"/>
    <w:rsid w:val="008D36A2"/>
    <w:rsid w:val="008E127E"/>
    <w:rsid w:val="008E68A6"/>
    <w:rsid w:val="008F2D21"/>
    <w:rsid w:val="00987D9E"/>
    <w:rsid w:val="00995E85"/>
    <w:rsid w:val="009A0E35"/>
    <w:rsid w:val="009B5D71"/>
    <w:rsid w:val="009C2BA6"/>
    <w:rsid w:val="009D676F"/>
    <w:rsid w:val="009F6400"/>
    <w:rsid w:val="00A07EA2"/>
    <w:rsid w:val="00A12610"/>
    <w:rsid w:val="00A47DD0"/>
    <w:rsid w:val="00A50C0D"/>
    <w:rsid w:val="00A56BDE"/>
    <w:rsid w:val="00A6594B"/>
    <w:rsid w:val="00A734B7"/>
    <w:rsid w:val="00A75E36"/>
    <w:rsid w:val="00A82915"/>
    <w:rsid w:val="00A866C2"/>
    <w:rsid w:val="00A937F6"/>
    <w:rsid w:val="00AA15B3"/>
    <w:rsid w:val="00AB4443"/>
    <w:rsid w:val="00AB665C"/>
    <w:rsid w:val="00AC0D80"/>
    <w:rsid w:val="00AC194A"/>
    <w:rsid w:val="00AC2076"/>
    <w:rsid w:val="00AC360A"/>
    <w:rsid w:val="00AC4264"/>
    <w:rsid w:val="00B03487"/>
    <w:rsid w:val="00B06EDD"/>
    <w:rsid w:val="00B07C87"/>
    <w:rsid w:val="00B2260F"/>
    <w:rsid w:val="00B47FC1"/>
    <w:rsid w:val="00B5128D"/>
    <w:rsid w:val="00B520AF"/>
    <w:rsid w:val="00B542DB"/>
    <w:rsid w:val="00B62825"/>
    <w:rsid w:val="00B6483D"/>
    <w:rsid w:val="00B76CE9"/>
    <w:rsid w:val="00B847DA"/>
    <w:rsid w:val="00B91DE5"/>
    <w:rsid w:val="00B95E37"/>
    <w:rsid w:val="00BA683E"/>
    <w:rsid w:val="00BB7D28"/>
    <w:rsid w:val="00BC5897"/>
    <w:rsid w:val="00BD37F6"/>
    <w:rsid w:val="00BE5725"/>
    <w:rsid w:val="00BE640F"/>
    <w:rsid w:val="00BE70A8"/>
    <w:rsid w:val="00C0357A"/>
    <w:rsid w:val="00C06C6F"/>
    <w:rsid w:val="00C17977"/>
    <w:rsid w:val="00C36635"/>
    <w:rsid w:val="00C43431"/>
    <w:rsid w:val="00C47FF7"/>
    <w:rsid w:val="00C62644"/>
    <w:rsid w:val="00C62E98"/>
    <w:rsid w:val="00C63E14"/>
    <w:rsid w:val="00C85F2A"/>
    <w:rsid w:val="00C94369"/>
    <w:rsid w:val="00CB1E8E"/>
    <w:rsid w:val="00CB2A93"/>
    <w:rsid w:val="00CF0494"/>
    <w:rsid w:val="00CF72F9"/>
    <w:rsid w:val="00CF73EC"/>
    <w:rsid w:val="00D05263"/>
    <w:rsid w:val="00D1043F"/>
    <w:rsid w:val="00D35377"/>
    <w:rsid w:val="00D55767"/>
    <w:rsid w:val="00D63425"/>
    <w:rsid w:val="00D7567E"/>
    <w:rsid w:val="00D8726D"/>
    <w:rsid w:val="00DA23B8"/>
    <w:rsid w:val="00DA6F3B"/>
    <w:rsid w:val="00DC1068"/>
    <w:rsid w:val="00DC6569"/>
    <w:rsid w:val="00DD4BB7"/>
    <w:rsid w:val="00E062ED"/>
    <w:rsid w:val="00E16AF4"/>
    <w:rsid w:val="00E176FE"/>
    <w:rsid w:val="00E6135E"/>
    <w:rsid w:val="00E715E7"/>
    <w:rsid w:val="00E72551"/>
    <w:rsid w:val="00E72567"/>
    <w:rsid w:val="00E834A2"/>
    <w:rsid w:val="00E90BB8"/>
    <w:rsid w:val="00E92CCA"/>
    <w:rsid w:val="00E97167"/>
    <w:rsid w:val="00EB3BBE"/>
    <w:rsid w:val="00EB7AF4"/>
    <w:rsid w:val="00EC380F"/>
    <w:rsid w:val="00ED3703"/>
    <w:rsid w:val="00ED4D08"/>
    <w:rsid w:val="00EF4904"/>
    <w:rsid w:val="00EF6670"/>
    <w:rsid w:val="00F00EA7"/>
    <w:rsid w:val="00F5338F"/>
    <w:rsid w:val="00F541A7"/>
    <w:rsid w:val="00F76821"/>
    <w:rsid w:val="00F83E4B"/>
    <w:rsid w:val="00F925A7"/>
    <w:rsid w:val="00F96094"/>
    <w:rsid w:val="00FA15FB"/>
    <w:rsid w:val="00FB4210"/>
    <w:rsid w:val="00FB4741"/>
    <w:rsid w:val="00FB6AEF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AFB4-D890-44D9-8B7C-629CA8A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DA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B2A9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36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D7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7"/>
  </w:style>
  <w:style w:type="paragraph" w:styleId="Footer">
    <w:name w:val="footer"/>
    <w:basedOn w:val="Normal"/>
    <w:link w:val="Foot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7"/>
  </w:style>
  <w:style w:type="paragraph" w:styleId="BalloonText">
    <w:name w:val="Balloon Text"/>
    <w:basedOn w:val="Normal"/>
    <w:link w:val="BalloonTextChar"/>
    <w:uiPriority w:val="99"/>
    <w:semiHidden/>
    <w:unhideWhenUsed/>
    <w:rsid w:val="0021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D4D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D4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585578"/>
    <w:pPr>
      <w:widowControl w:val="0"/>
      <w:autoSpaceDE w:val="0"/>
      <w:autoSpaceDN w:val="0"/>
      <w:spacing w:after="0" w:line="240" w:lineRule="auto"/>
      <w:ind w:left="116" w:firstLine="70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85578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3C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5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92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003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31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880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3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3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01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04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81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64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gornjimilanovac.ls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46EE-9548-4497-A60A-D8EB7602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9</cp:revision>
  <cp:lastPrinted>2023-03-16T06:15:00Z</cp:lastPrinted>
  <dcterms:created xsi:type="dcterms:W3CDTF">2024-04-02T16:18:00Z</dcterms:created>
  <dcterms:modified xsi:type="dcterms:W3CDTF">2024-04-02T16:43:00Z</dcterms:modified>
</cp:coreProperties>
</file>