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7AAC" w14:textId="59A8ED15" w:rsidR="00C654E5" w:rsidRPr="00E57A35" w:rsidRDefault="00C654E5" w:rsidP="1DB9880B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1DB9880B">
        <w:rPr>
          <w:color w:val="auto"/>
          <w:lang w:val="sr-Cyrl-CS"/>
        </w:rPr>
        <w:t xml:space="preserve">Уговора о суфинансирању програма енергетске санације </w:t>
      </w:r>
      <w:r w:rsidR="003816CC" w:rsidRPr="1DB9880B">
        <w:rPr>
          <w:color w:val="auto"/>
          <w:lang w:val="sr-Cyrl-CS"/>
        </w:rPr>
        <w:t>породичних кућа и станова који спроводи општина</w:t>
      </w:r>
      <w:r w:rsidR="004267EB">
        <w:rPr>
          <w:color w:val="auto"/>
        </w:rPr>
        <w:t xml:space="preserve"> </w:t>
      </w:r>
      <w:r w:rsidR="004267EB">
        <w:rPr>
          <w:color w:val="auto"/>
          <w:lang w:val="sr-Cyrl-RS"/>
        </w:rPr>
        <w:t>Горњи Милановац</w:t>
      </w:r>
      <w:r w:rsidR="003816CC" w:rsidRPr="1DB9880B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4267EB" w:rsidRPr="004267EB">
        <w:rPr>
          <w:lang w:val="sr-Cyrl-CS"/>
        </w:rPr>
        <w:t xml:space="preserve"> </w:t>
      </w:r>
      <w:r w:rsidR="00933CBE" w:rsidRPr="00933CBE">
        <w:rPr>
          <w:lang w:val="sr-Cyrl-CS"/>
        </w:rPr>
        <w:t xml:space="preserve">број 3-06-42/2023 од 31.07.2023. године </w:t>
      </w:r>
      <w:r w:rsidR="004267EB" w:rsidRPr="1DB9880B">
        <w:rPr>
          <w:lang w:val="sr-Cyrl-CS"/>
        </w:rPr>
        <w:t>(</w:t>
      </w:r>
      <w:r w:rsidR="004267EB">
        <w:rPr>
          <w:lang w:val="sr-Cyrl-CS"/>
        </w:rPr>
        <w:t>„Службени гласник општине Горњи Милановац“ бр. 18/2023)</w:t>
      </w:r>
      <w:r w:rsidR="001230B1" w:rsidRPr="1DB9880B">
        <w:rPr>
          <w:color w:val="auto"/>
          <w:lang w:val="sr-Cyrl-CS"/>
        </w:rPr>
        <w:t>, Јавног позива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 w:rsidR="05011B1E" w:rsidRPr="1DB9880B">
        <w:rPr>
          <w:color w:val="auto"/>
          <w:lang w:val="sr-Cyrl-CS"/>
        </w:rPr>
        <w:t xml:space="preserve"> </w:t>
      </w:r>
      <w:r w:rsidR="004267EB">
        <w:rPr>
          <w:color w:val="auto"/>
          <w:lang w:val="sr-Cyrl-CS"/>
        </w:rPr>
        <w:t xml:space="preserve"> </w:t>
      </w:r>
      <w:r w:rsidR="004267EB">
        <w:rPr>
          <w:color w:val="auto"/>
          <w:lang w:val="sr-Cyrl-RS"/>
        </w:rPr>
        <w:t>Горњи Милановац</w:t>
      </w:r>
      <w:r w:rsidR="004267EB" w:rsidRPr="1DB9880B">
        <w:rPr>
          <w:lang w:val="sr-Cyrl-CS"/>
        </w:rPr>
        <w:t xml:space="preserve"> </w:t>
      </w:r>
      <w:r w:rsidR="004267EB">
        <w:rPr>
          <w:lang w:val="sr-Cyrl-CS"/>
        </w:rPr>
        <w:t xml:space="preserve"> </w:t>
      </w:r>
      <w:r w:rsidR="00933CBE">
        <w:rPr>
          <w:lang w:val="sr-Cyrl-CS"/>
        </w:rPr>
        <w:t>бр.</w:t>
      </w:r>
      <w:r w:rsidR="00933CBE" w:rsidRPr="00933CBE">
        <w:rPr>
          <w:lang w:val="sr-Cyrl-CS"/>
        </w:rPr>
        <w:t xml:space="preserve"> 3-06-46/2023</w:t>
      </w:r>
      <w:r w:rsidR="00933CBE">
        <w:rPr>
          <w:lang w:val="sr-Cyrl-CS"/>
        </w:rPr>
        <w:t xml:space="preserve"> од </w:t>
      </w:r>
      <w:r w:rsidR="00933CBE">
        <w:rPr>
          <w:szCs w:val="24"/>
          <w:lang w:val="sr-Cyrl-RS"/>
        </w:rPr>
        <w:t>22.09.202</w:t>
      </w:r>
      <w:r w:rsidR="00933CBE">
        <w:rPr>
          <w:szCs w:val="24"/>
        </w:rPr>
        <w:t>3</w:t>
      </w:r>
      <w:r w:rsidR="00933CBE">
        <w:rPr>
          <w:szCs w:val="24"/>
          <w:lang w:val="sr-Cyrl-RS"/>
        </w:rPr>
        <w:t xml:space="preserve">. године  и </w:t>
      </w:r>
      <w:r w:rsidR="003F3D36" w:rsidRPr="003F3D36">
        <w:rPr>
          <w:color w:val="auto"/>
          <w:lang w:val="sr-Cyrl-CS"/>
        </w:rPr>
        <w:t xml:space="preserve"> одлуке </w:t>
      </w:r>
      <w:r w:rsidR="00933CBE">
        <w:rPr>
          <w:color w:val="auto"/>
          <w:lang w:val="sr-Cyrl-CS"/>
        </w:rPr>
        <w:t xml:space="preserve">Општинског већа </w:t>
      </w:r>
      <w:r w:rsidR="003F3D36" w:rsidRPr="003F3D36">
        <w:rPr>
          <w:color w:val="auto"/>
          <w:lang w:val="sr-Cyrl-CS"/>
        </w:rPr>
        <w:t>општине</w:t>
      </w:r>
      <w:r w:rsidR="00933CBE">
        <w:rPr>
          <w:color w:val="auto"/>
          <w:lang w:val="sr-Cyrl-CS"/>
        </w:rPr>
        <w:t xml:space="preserve"> </w:t>
      </w:r>
      <w:r w:rsidR="00933CBE">
        <w:rPr>
          <w:color w:val="auto"/>
          <w:lang w:val="sr-Cyrl-RS"/>
        </w:rPr>
        <w:t>Горњи Милановац</w:t>
      </w:r>
      <w:r w:rsidR="00933CBE" w:rsidRPr="003F3D36">
        <w:rPr>
          <w:color w:val="auto"/>
          <w:lang w:val="sr-Cyrl-CS"/>
        </w:rPr>
        <w:t xml:space="preserve"> </w:t>
      </w:r>
      <w:r w:rsidR="003F3D36" w:rsidRPr="003F3D36">
        <w:rPr>
          <w:color w:val="auto"/>
          <w:lang w:val="sr-Cyrl-CS"/>
        </w:rPr>
        <w:t>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 w:rsidR="00933CBE">
        <w:rPr>
          <w:color w:val="auto"/>
          <w:lang w:val="sr-Cyrl-CS"/>
        </w:rPr>
        <w:t xml:space="preserve"> </w:t>
      </w:r>
      <w:r w:rsidR="00933CBE">
        <w:rPr>
          <w:color w:val="auto"/>
          <w:lang w:val="sr-Cyrl-RS"/>
        </w:rPr>
        <w:t>Горњи Милановац</w:t>
      </w:r>
      <w:r w:rsidR="00933CBE" w:rsidRPr="003F3D36">
        <w:rPr>
          <w:color w:val="auto"/>
          <w:lang w:val="sr-Cyrl-CS"/>
        </w:rPr>
        <w:t xml:space="preserve"> </w:t>
      </w:r>
      <w:r w:rsidR="003F3D36" w:rsidRPr="003F3D36">
        <w:rPr>
          <w:color w:val="auto"/>
          <w:lang w:val="sr-Cyrl-CS"/>
        </w:rPr>
        <w:t>број</w:t>
      </w:r>
      <w:r w:rsidR="008D333F">
        <w:rPr>
          <w:color w:val="auto"/>
          <w:lang w:val="sr-Cyrl-CS"/>
        </w:rPr>
        <w:t xml:space="preserve"> 3-06-50/2024 од  31.07.2024.године </w:t>
      </w:r>
      <w:r w:rsidR="008D333F" w:rsidRPr="008D333F">
        <w:rPr>
          <w:color w:val="auto"/>
          <w:lang w:val="sr-Cyrl-CS"/>
        </w:rPr>
        <w:t xml:space="preserve">(„Службени гласник општине Горњи Милановац“ бр. </w:t>
      </w:r>
      <w:r w:rsidR="008D333F">
        <w:rPr>
          <w:color w:val="auto"/>
          <w:lang w:val="sr-Cyrl-CS"/>
        </w:rPr>
        <w:t>18/2024</w:t>
      </w:r>
      <w:r w:rsidR="008D333F" w:rsidRPr="008D333F">
        <w:rPr>
          <w:color w:val="auto"/>
          <w:lang w:val="sr-Cyrl-CS"/>
        </w:rPr>
        <w:t>)</w:t>
      </w:r>
      <w:r w:rsidR="003F3D36" w:rsidRPr="003F3D36">
        <w:rPr>
          <w:color w:val="auto"/>
          <w:lang w:val="sr-Cyrl-CS"/>
        </w:rPr>
        <w:t xml:space="preserve">  објављује се</w:t>
      </w:r>
      <w:r w:rsidR="003F3D36">
        <w:rPr>
          <w:color w:val="auto"/>
          <w:lang w:val="sr-Latn-CS"/>
        </w:rPr>
        <w:t>,</w:t>
      </w:r>
      <w:r w:rsidRPr="1DB9880B">
        <w:rPr>
          <w:color w:val="auto"/>
          <w:lang w:val="sr-Cyrl-CS"/>
        </w:rPr>
        <w:t xml:space="preserve">  </w:t>
      </w:r>
    </w:p>
    <w:p w14:paraId="346D044F" w14:textId="77777777" w:rsidR="009F509E" w:rsidRPr="00E57A35" w:rsidRDefault="009F509E" w:rsidP="00F2479A">
      <w:pPr>
        <w:spacing w:after="0" w:line="240" w:lineRule="auto"/>
        <w:ind w:firstLine="659"/>
        <w:rPr>
          <w:color w:val="auto"/>
          <w:lang w:val="sr-Cyrl-CS" w:eastAsia="en-US"/>
        </w:rPr>
      </w:pPr>
    </w:p>
    <w:p w14:paraId="554B0CDC" w14:textId="77777777"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  <w:r w:rsidRPr="00E57A35">
        <w:rPr>
          <w:color w:val="auto"/>
          <w:lang w:val="sr-Cyrl-CS" w:eastAsia="en-US"/>
        </w:rPr>
        <w:t xml:space="preserve">   </w:t>
      </w:r>
      <w:r w:rsidRPr="00E57A35">
        <w:rPr>
          <w:color w:val="auto"/>
          <w:lang w:val="sr-Cyrl-CS"/>
        </w:rPr>
        <w:t xml:space="preserve"> </w:t>
      </w:r>
    </w:p>
    <w:p w14:paraId="3B393CAC" w14:textId="77777777"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14:paraId="1DD969C7" w14:textId="77777777"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14:paraId="38BBC239" w14:textId="77777777"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14:paraId="1616D0C3" w14:textId="4BA1531E" w:rsidR="00EF4D78" w:rsidRPr="00E57A35" w:rsidRDefault="00DE5ECC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  <w:lang w:val="sr-Cyrl-CS"/>
        </w:rPr>
        <w:t xml:space="preserve">  </w:t>
      </w:r>
      <w:r w:rsidR="00EF4D78"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  <w:lang w:val="sr-Cyrl-RS"/>
        </w:rPr>
        <w:t xml:space="preserve"> и станова</w:t>
      </w:r>
      <w:r w:rsidR="00EF4D78" w:rsidRPr="00E57A35">
        <w:rPr>
          <w:b/>
          <w:bCs/>
          <w:color w:val="auto"/>
          <w:szCs w:val="24"/>
        </w:rPr>
        <w:t xml:space="preserve"> на територији општин</w:t>
      </w:r>
      <w:r w:rsidR="00933CBE">
        <w:rPr>
          <w:b/>
          <w:bCs/>
          <w:color w:val="auto"/>
          <w:szCs w:val="24"/>
          <w:lang w:val="sr-Cyrl-RS"/>
        </w:rPr>
        <w:t xml:space="preserve">е </w:t>
      </w:r>
      <w:r w:rsidR="00933CBE" w:rsidRPr="00933CBE">
        <w:rPr>
          <w:b/>
          <w:color w:val="auto"/>
          <w:lang w:val="sr-Cyrl-RS"/>
        </w:rPr>
        <w:t>Горњи Милановац</w:t>
      </w:r>
      <w:r w:rsidR="00EF4D78" w:rsidRPr="00E57A35">
        <w:rPr>
          <w:b/>
          <w:bCs/>
          <w:color w:val="auto"/>
          <w:szCs w:val="24"/>
        </w:rPr>
        <w:t xml:space="preserve"> 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="00EF4D78" w:rsidRPr="00E57A35">
        <w:rPr>
          <w:b/>
          <w:bCs/>
          <w:color w:val="auto"/>
          <w:szCs w:val="24"/>
        </w:rPr>
        <w:t>. годину</w:t>
      </w:r>
    </w:p>
    <w:p w14:paraId="04538A55" w14:textId="77777777"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13EE88EB" w14:textId="77777777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</w:p>
    <w:p w14:paraId="41074F07" w14:textId="08D591C4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У складу са чланом 18. Правилника</w:t>
      </w:r>
      <w:r w:rsidRPr="00E57A35">
        <w:rPr>
          <w:i/>
          <w:iCs/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RS"/>
        </w:rPr>
        <w:t xml:space="preserve">расписује се </w:t>
      </w:r>
      <w:r w:rsidR="00BE1D53" w:rsidRPr="00E57A35">
        <w:rPr>
          <w:color w:val="auto"/>
          <w:szCs w:val="24"/>
          <w:lang w:val="sr-Cyrl-RS"/>
        </w:rPr>
        <w:t>Јавни позив за суфинансирање мера енергетске санације породичних кућа и станова на територији општин</w:t>
      </w:r>
      <w:r w:rsidR="00933CBE">
        <w:rPr>
          <w:color w:val="auto"/>
          <w:szCs w:val="24"/>
          <w:lang w:val="sr-Cyrl-RS"/>
        </w:rPr>
        <w:t>е</w:t>
      </w:r>
      <w:r w:rsidR="00BE1D53" w:rsidRPr="00E57A35">
        <w:rPr>
          <w:color w:val="auto"/>
          <w:szCs w:val="24"/>
          <w:lang w:val="sr-Cyrl-RS"/>
        </w:rPr>
        <w:t xml:space="preserve"> </w:t>
      </w:r>
      <w:r w:rsidR="00933CBE">
        <w:rPr>
          <w:color w:val="auto"/>
          <w:lang w:val="sr-Cyrl-RS"/>
        </w:rPr>
        <w:t>Горњи Милановац</w:t>
      </w:r>
      <w:r w:rsidR="00BE1D53" w:rsidRPr="00E57A35">
        <w:rPr>
          <w:color w:val="auto"/>
          <w:szCs w:val="24"/>
          <w:lang w:val="sr-Cyrl-RS"/>
        </w:rPr>
        <w:t xml:space="preserve"> за 202</w:t>
      </w:r>
      <w:r w:rsidR="003220A1">
        <w:rPr>
          <w:color w:val="auto"/>
          <w:szCs w:val="24"/>
          <w:lang w:val="sr-Cyrl-RS"/>
        </w:rPr>
        <w:t>4</w:t>
      </w:r>
      <w:r w:rsidR="00BE1D53" w:rsidRPr="00E57A35">
        <w:rPr>
          <w:color w:val="auto"/>
          <w:szCs w:val="24"/>
          <w:lang w:val="sr-Cyrl-RS"/>
        </w:rPr>
        <w:t>. годину</w:t>
      </w:r>
      <w:r w:rsidRPr="00E57A35">
        <w:rPr>
          <w:color w:val="auto"/>
          <w:szCs w:val="24"/>
          <w:lang w:val="sr-Cyrl-RS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  <w:lang w:val="sr-Cyrl-RS"/>
        </w:rPr>
        <w:t>.</w:t>
      </w:r>
      <w:r w:rsidR="00BE1D53" w:rsidRPr="00E57A35">
        <w:rPr>
          <w:color w:val="auto"/>
          <w:szCs w:val="24"/>
          <w:lang w:val="sr-Cyrl-RS"/>
        </w:rPr>
        <w:tab/>
      </w:r>
    </w:p>
    <w:p w14:paraId="506F8719" w14:textId="22AA2E48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 w:rsidR="00933CBE">
        <w:rPr>
          <w:color w:val="auto"/>
          <w:lang w:val="sr-Cyrl-RS"/>
        </w:rPr>
        <w:t>Горњи Милановац</w:t>
      </w:r>
      <w:r w:rsidRPr="00E57A35">
        <w:rPr>
          <w:color w:val="auto"/>
          <w:szCs w:val="24"/>
          <w:lang w:val="sr-Cyrl-RS"/>
        </w:rPr>
        <w:t>.</w:t>
      </w:r>
    </w:p>
    <w:p w14:paraId="20B26780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7395909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I.</w:t>
      </w:r>
      <w:r w:rsidRPr="00E57A35">
        <w:rPr>
          <w:color w:val="auto"/>
          <w:szCs w:val="24"/>
        </w:rPr>
        <w:t xml:space="preserve"> ПРЕДМЕТ</w:t>
      </w:r>
      <w:r w:rsidR="0099553D" w:rsidRPr="00E57A35">
        <w:rPr>
          <w:color w:val="auto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14:paraId="6E19AFAB" w14:textId="77777777"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2B7E5D13" w14:textId="77777777"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>Предмет Јавног позива је спровођење следећих мера енергетске ефикасности:</w:t>
      </w:r>
    </w:p>
    <w:p w14:paraId="29C578F8" w14:textId="77777777"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14:paraId="17BE9E7C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06D2AD1A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14:paraId="5B477ECF" w14:textId="46A1421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14:paraId="60D8A629" w14:textId="59ACE5C6" w:rsidR="00BE1D53" w:rsidRPr="00E57A35" w:rsidRDefault="7F205E7E" w:rsidP="51FD7997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t xml:space="preserve">- </w:t>
      </w:r>
      <w:r w:rsidRPr="51FD7997">
        <w:rPr>
          <w:rFonts w:eastAsia="Calibri"/>
          <w:color w:val="auto"/>
          <w:lang w:val="en-US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  <w:lang w:val="en-US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53EE72B9" w:rsidRPr="51FD7997">
        <w:rPr>
          <w:rFonts w:eastAsia="Calibri"/>
          <w:color w:val="auto"/>
          <w:lang w:val="sr-Cyrl-CS"/>
        </w:rPr>
        <w:t xml:space="preserve"> ( 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2EA577A5" w:rsidRPr="51FD7997">
        <w:rPr>
          <w:rFonts w:eastAsia="Calibri"/>
          <w:color w:val="auto"/>
          <w:lang w:val="sr-Cyrl-CS"/>
        </w:rPr>
        <w:t>а цео склоп стакла и рама )</w:t>
      </w:r>
      <w:r w:rsidRPr="51FD7997">
        <w:rPr>
          <w:rFonts w:eastAsia="Calibri"/>
          <w:color w:val="auto"/>
          <w:lang w:val="sr-Cyrl-CS"/>
        </w:rPr>
        <w:t xml:space="preserve"> </w:t>
      </w:r>
      <w:r w:rsidRPr="51FD7997">
        <w:rPr>
          <w:rFonts w:eastAsia="Calibri"/>
          <w:color w:val="auto"/>
          <w:lang w:val="en-US"/>
        </w:rPr>
        <w:t>;</w:t>
      </w:r>
      <w:r w:rsidRPr="51FD7997">
        <w:rPr>
          <w:rFonts w:eastAsia="Calibri"/>
          <w:color w:val="auto"/>
          <w:lang w:val="sr-Cyrl-CS"/>
        </w:rPr>
        <w:t xml:space="preserve"> </w:t>
      </w:r>
    </w:p>
    <w:p w14:paraId="22FF8471" w14:textId="5176F258" w:rsidR="00E235DA" w:rsidRPr="00E57A35" w:rsidRDefault="00E235DA" w:rsidP="00E235DA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lastRenderedPageBreak/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6543DB">
        <w:rPr>
          <w:rFonts w:eastAsia="Calibri"/>
          <w:color w:val="auto"/>
          <w:szCs w:val="24"/>
          <w:lang w:val="sr-Cyrl-CS"/>
        </w:rPr>
        <w:t xml:space="preserve"> ( 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 xml:space="preserve"> )</w:t>
      </w:r>
      <w:r w:rsidRPr="00E57A35">
        <w:rPr>
          <w:rFonts w:eastAsia="Calibri"/>
          <w:color w:val="auto"/>
          <w:szCs w:val="24"/>
          <w:lang w:val="en-US"/>
        </w:rPr>
        <w:t>;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726B605D" w14:textId="40DCB1A9"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B94BB1">
        <w:rPr>
          <w:rFonts w:eastAsia="Calibri"/>
          <w:color w:val="auto"/>
          <w:szCs w:val="24"/>
          <w:lang w:val="sr-Cyrl-CS"/>
        </w:rPr>
        <w:t xml:space="preserve"> ( када је атест рађен за рам 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14:paraId="1C5CB816" w14:textId="6F08191B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  <w:lang w:val="en-US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C0EF7D7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5546B065" w14:textId="39DC2DDC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14:paraId="13EA02DD" w14:textId="6701B045"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  <w:lang w:val="sr-Cyrl-RS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  <w:lang w:val="sr-Cyrl-RS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  <w:lang w:val="sr-Cyrl-RS"/>
        </w:rPr>
        <w:t>/подова</w:t>
      </w:r>
      <w:r w:rsidR="004F0079">
        <w:rPr>
          <w:rFonts w:eastAsia="Calibri"/>
          <w:color w:val="auto"/>
          <w:szCs w:val="24"/>
          <w:lang w:val="sr-Cyrl-RS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  <w:lang w:val="sr-Cyrl-RS"/>
        </w:rPr>
        <w:t xml:space="preserve"> слој </w:t>
      </w:r>
      <w:r w:rsidR="00CC5958">
        <w:rPr>
          <w:rFonts w:eastAsia="Calibri"/>
          <w:color w:val="auto"/>
          <w:szCs w:val="24"/>
          <w:lang w:val="sr-Cyrl-RS"/>
        </w:rPr>
        <w:t xml:space="preserve">зида или </w:t>
      </w:r>
      <w:r w:rsidR="004F0079">
        <w:rPr>
          <w:rFonts w:eastAsia="Calibri"/>
          <w:color w:val="auto"/>
          <w:szCs w:val="24"/>
          <w:lang w:val="sr-Cyrl-RS"/>
        </w:rPr>
        <w:t xml:space="preserve">пода. </w:t>
      </w:r>
      <w:r w:rsidR="00D129A3" w:rsidRPr="00E57A35">
        <w:rPr>
          <w:rFonts w:eastAsia="Calibri"/>
          <w:color w:val="auto"/>
          <w:szCs w:val="24"/>
          <w:lang w:val="sr-Cyrl-RS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14:paraId="2B8EEF13" w14:textId="258BFDB9"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57676AF" w14:textId="77777777"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14:paraId="4CB3D5B0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2A19B108" w14:textId="2B449A8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14:paraId="36A94F8E" w14:textId="77777777"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185DD7A6" w14:textId="75052C49"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4467C994" w14:textId="77777777"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14:paraId="4D120EC2" w14:textId="75BE373A"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933CBE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на_гас,</w:t>
      </w:r>
    </w:p>
    <w:p w14:paraId="6326C5B5" w14:textId="56DC6509"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У оквиру ове мере </w:t>
      </w:r>
      <w:r w:rsidR="00D129A3" w:rsidRPr="00E57A35">
        <w:rPr>
          <w:color w:val="auto"/>
          <w:szCs w:val="24"/>
          <w:lang w:val="sr-Cyrl-RS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  <w:lang w:val="sr-Cyrl-RS"/>
        </w:rPr>
        <w:t xml:space="preserve"> Овом мером није предвиђено финансирање уградње гасне инсталације.</w:t>
      </w:r>
    </w:p>
    <w:p w14:paraId="617B98C1" w14:textId="77777777"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>ом</w:t>
      </w:r>
      <w:r w:rsidR="00BE1D53" w:rsidRPr="00E57A35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14:paraId="5DA00272" w14:textId="6A57C0D6"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5D5D36A2" w14:textId="77777777" w:rsidR="000B6158" w:rsidRDefault="000B6158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14:paraId="6A3A795E" w14:textId="6E4C2D70" w:rsidR="00B6198A" w:rsidRPr="00E57A35" w:rsidRDefault="00B6198A" w:rsidP="000A3643">
      <w:pPr>
        <w:autoSpaceDE w:val="0"/>
        <w:autoSpaceDN w:val="0"/>
        <w:adjustRightInd w:val="0"/>
        <w:spacing w:after="0" w:line="240" w:lineRule="auto"/>
        <w:ind w:left="108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18148D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>котла</w:t>
      </w:r>
      <w:r w:rsidR="004714B6" w:rsidRPr="264D8FE5">
        <w:rPr>
          <w:color w:val="000000" w:themeColor="text1"/>
          <w:lang w:val="sr-Cyrl-CS"/>
        </w:rPr>
        <w:t xml:space="preserve"> </w:t>
      </w:r>
      <w:r w:rsidR="001A2266" w:rsidRPr="264D8FE5">
        <w:rPr>
          <w:color w:val="000000" w:themeColor="text1"/>
          <w:lang w:val="sr-Cyrl-CS"/>
        </w:rPr>
        <w:t>на природан гас</w:t>
      </w:r>
      <w:r w:rsidR="001A2266">
        <w:t xml:space="preserve"> </w:t>
      </w:r>
      <w:r w:rsidR="001A2266" w:rsidRPr="264D8FE5">
        <w:rPr>
          <w:color w:val="000000" w:themeColor="text1"/>
          <w:lang w:val="sr-Cyrl-CS"/>
        </w:rPr>
        <w:t xml:space="preserve">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1A2266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  <w:r w:rsidR="004714B6" w:rsidRPr="264D8FE5">
        <w:rPr>
          <w:color w:val="000000" w:themeColor="text1"/>
          <w:lang w:val="sr-Cyrl-CS"/>
        </w:rPr>
        <w:t xml:space="preserve"> </w:t>
      </w:r>
    </w:p>
    <w:p w14:paraId="5E8AC38D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C7CE6E5" w14:textId="13B81B1E" w:rsidR="00BE1D53" w:rsidRPr="00E57A35" w:rsidRDefault="00BE1D53" w:rsidP="37CE7D14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5C57A240" w:rsidRPr="37CE7D14">
        <w:rPr>
          <w:rFonts w:eastAsia="Calibri"/>
          <w:b/>
          <w:bCs/>
          <w:color w:val="auto"/>
          <w:u w:val="single"/>
          <w:lang w:val="sr-Cyrl-CS"/>
        </w:rPr>
        <w:t xml:space="preserve"> 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14:paraId="2EB29D88" w14:textId="05E9240C"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lastRenderedPageBreak/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9974E5" w:rsidRPr="00E57A35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14:paraId="1552490B" w14:textId="2FAC21E5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10C8EE49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76A1E58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14:paraId="0D1AD5D0" w14:textId="7B7742F9"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Latn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  <w:lang w:val="sr-Cyrl-RS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  <w:lang w:val="sr-Cyrl-RS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14:paraId="598936BF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14:paraId="00062158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14:paraId="0639EC49" w14:textId="1D4F09FE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14:paraId="772A72A7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327D58C3" w14:textId="77777777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0DC30E6E" w14:textId="19EAF26E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</w:t>
      </w:r>
      <w:r w:rsidR="004F0079" w:rsidRPr="679729BB">
        <w:rPr>
          <w:color w:val="auto"/>
          <w:lang w:val="sr-Cyrl-CS"/>
        </w:rPr>
        <w:t xml:space="preserve"> </w:t>
      </w:r>
      <w:r w:rsidR="00A2104F" w:rsidRPr="679729BB">
        <w:rPr>
          <w:color w:val="auto"/>
          <w:lang w:val="sr-Cyrl-CS"/>
        </w:rPr>
        <w:t>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9E4A27" w:rsidRPr="679729BB">
        <w:rPr>
          <w:color w:val="auto"/>
          <w:lang w:val="sr-Cyrl-CS"/>
        </w:rPr>
        <w:t xml:space="preserve"> 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A938D1" w:rsidRPr="679729BB">
        <w:rPr>
          <w:color w:val="auto"/>
          <w:lang w:val="sr-Cyrl-CS"/>
        </w:rPr>
        <w:t xml:space="preserve"> 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6C63D8" w:rsidRPr="679729BB">
        <w:rPr>
          <w:color w:val="auto"/>
          <w:lang w:val="sr-Cyrl-CS"/>
        </w:rPr>
        <w:t xml:space="preserve"> 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="00D03490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</w:t>
      </w:r>
      <w:r w:rsidR="00A013C7" w:rsidRPr="679729BB">
        <w:rPr>
          <w:color w:val="auto"/>
          <w:lang w:val="en-US"/>
        </w:rPr>
        <w:t xml:space="preserve"> </w:t>
      </w:r>
      <w:r w:rsidR="00A013C7" w:rsidRPr="679729BB">
        <w:rPr>
          <w:color w:val="auto"/>
          <w:lang w:val="sr-Cyrl-CS"/>
        </w:rPr>
        <w:t>овог одељка или пакета који садржи наведене мере</w:t>
      </w:r>
      <w:r w:rsidRPr="679729BB">
        <w:rPr>
          <w:color w:val="auto"/>
          <w:lang w:val="sr-Cyrl-CS"/>
        </w:rPr>
        <w:t>.</w:t>
      </w:r>
      <w:r w:rsidR="00241A15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Pr="679729BB">
        <w:rPr>
          <w:color w:val="auto"/>
          <w:lang w:val="sr-Cyrl-CS"/>
        </w:rPr>
        <w:t xml:space="preserve"> 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p w14:paraId="0F0D406B" w14:textId="494B7EB0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3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14:paraId="0A6D1407" w14:textId="77777777"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15A60B24" w14:textId="511CD475"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color w:val="auto"/>
        </w:rPr>
        <w:t xml:space="preserve">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en-US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14:paraId="1E061934" w14:textId="77777777"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14:paraId="6B01B169" w14:textId="1A0C728A" w:rsidR="007417C9" w:rsidRPr="00E57A35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</w:p>
    <w:p w14:paraId="10913E4B" w14:textId="77777777" w:rsidR="009D7DFE" w:rsidRPr="00E57A35" w:rsidRDefault="009D7DFE" w:rsidP="009D7DFE">
      <w:pPr>
        <w:pStyle w:val="1tekst"/>
        <w:spacing w:before="0" w:beforeAutospacing="0" w:after="0" w:afterAutospacing="0"/>
        <w:rPr>
          <w:iCs/>
          <w:lang w:val="sr-Cyrl-RS"/>
        </w:rPr>
      </w:pPr>
    </w:p>
    <w:p w14:paraId="094B85EA" w14:textId="015E44A1" w:rsidR="00715C42" w:rsidRDefault="00AF7009" w:rsidP="00CA5128">
      <w:pPr>
        <w:pStyle w:val="1tekst"/>
        <w:spacing w:before="0" w:beforeAutospacing="0" w:after="0" w:afterAutospacing="0"/>
        <w:ind w:firstLine="708"/>
        <w:jc w:val="both"/>
        <w:rPr>
          <w:lang w:val="sr-Cyrl-RS"/>
        </w:rPr>
      </w:pPr>
      <w:r w:rsidRPr="1DB9880B">
        <w:rPr>
          <w:lang w:val="sr-Cyrl-RS"/>
        </w:rPr>
        <w:t>Све наведене мере су примењиве за породичне куће, а за станове се могу применити само мере наведен</w:t>
      </w:r>
      <w:r w:rsidR="00F26A8D" w:rsidRPr="1DB9880B">
        <w:rPr>
          <w:lang w:val="sr-Cyrl-RS"/>
        </w:rPr>
        <w:t>е</w:t>
      </w:r>
      <w:r w:rsidRPr="1DB9880B">
        <w:rPr>
          <w:lang w:val="sr-Cyrl-RS"/>
        </w:rPr>
        <w:t xml:space="preserve"> под тачкама 1), </w:t>
      </w:r>
      <w:r w:rsidR="00EF6729" w:rsidRPr="1DB9880B">
        <w:rPr>
          <w:lang w:val="sr-Cyrl-RS"/>
        </w:rPr>
        <w:t xml:space="preserve">4), </w:t>
      </w:r>
      <w:r w:rsidRPr="1DB9880B">
        <w:rPr>
          <w:lang w:val="sr-Cyrl-RS"/>
        </w:rPr>
        <w:t>6)</w:t>
      </w:r>
      <w:r w:rsidR="00F26A8D" w:rsidRPr="1DB9880B">
        <w:rPr>
          <w:lang w:val="sr-Cyrl-RS"/>
        </w:rPr>
        <w:t xml:space="preserve"> и</w:t>
      </w:r>
      <w:r w:rsidRPr="1DB9880B">
        <w:rPr>
          <w:lang w:val="sr-Cyrl-RS"/>
        </w:rPr>
        <w:t xml:space="preserve"> 7).</w:t>
      </w:r>
    </w:p>
    <w:p w14:paraId="4BD2F213" w14:textId="51215615" w:rsidR="00231E0C" w:rsidRPr="00E57A35" w:rsidRDefault="00231E0C" w:rsidP="009D7DFE">
      <w:pPr>
        <w:pStyle w:val="1tekst"/>
        <w:spacing w:before="0" w:beforeAutospacing="0" w:after="0" w:afterAutospacing="0"/>
        <w:ind w:firstLine="708"/>
        <w:rPr>
          <w:iCs/>
          <w:lang w:val="sr-Cyrl-RS"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14:paraId="59E0354C" w14:textId="77777777"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14:paraId="096988B8" w14:textId="77777777" w:rsidR="008B407A" w:rsidRPr="00E57A35" w:rsidRDefault="008B407A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  <w:lang w:val="sr-Cyrl-RS"/>
        </w:rPr>
      </w:pPr>
      <w:r w:rsidRPr="00E57A35">
        <w:rPr>
          <w:bCs/>
          <w:color w:val="auto"/>
          <w:szCs w:val="24"/>
        </w:rPr>
        <w:t>II.</w:t>
      </w:r>
      <w:r w:rsidRPr="00E57A35">
        <w:rPr>
          <w:bCs/>
          <w:color w:val="auto"/>
          <w:szCs w:val="24"/>
          <w:lang w:val="ru-RU"/>
        </w:rPr>
        <w:t xml:space="preserve"> </w:t>
      </w:r>
      <w:r w:rsidRPr="00E57A35">
        <w:rPr>
          <w:bCs/>
          <w:color w:val="auto"/>
          <w:szCs w:val="24"/>
          <w:lang w:val="sr-Cyrl-RS"/>
        </w:rPr>
        <w:t>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  <w:r w:rsidRPr="00E57A35">
        <w:rPr>
          <w:bCs/>
          <w:color w:val="auto"/>
          <w:szCs w:val="24"/>
          <w:lang w:val="ru-RU"/>
        </w:rPr>
        <w:t xml:space="preserve"> </w:t>
      </w:r>
    </w:p>
    <w:p w14:paraId="30AEA1BC" w14:textId="77777777"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  <w:lang w:val="en-US"/>
        </w:rPr>
      </w:pPr>
    </w:p>
    <w:p w14:paraId="367F6730" w14:textId="17265A8F"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  <w:lang w:val="sr-Cyrl-RS"/>
        </w:rPr>
        <w:t>Крајњи к</w:t>
      </w:r>
      <w:r w:rsidRPr="32DCF864">
        <w:rPr>
          <w:noProof/>
          <w:color w:val="auto"/>
          <w:lang w:val="en-US"/>
        </w:rPr>
        <w:t>орисници бесповратних средстава су домаћинства</w:t>
      </w:r>
      <w:r w:rsidRPr="32DCF864">
        <w:rPr>
          <w:noProof/>
          <w:color w:val="auto"/>
          <w:lang w:val="sr-Cyrl-RS"/>
        </w:rPr>
        <w:t xml:space="preserve">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14:paraId="50A677A0" w14:textId="77777777"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14:paraId="1D481124" w14:textId="77777777"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>. ВИСИНА БЕСПОВРАТНИХ СРЕДСТАВА</w:t>
      </w:r>
    </w:p>
    <w:p w14:paraId="70C647A6" w14:textId="77777777"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14:paraId="01B7A6A4" w14:textId="39A9E4E8"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  <w:lang w:val="sr-Cyrl-RS"/>
        </w:rPr>
        <w:t>Укупн</w:t>
      </w:r>
      <w:r w:rsidR="00AD1B08">
        <w:rPr>
          <w:bCs/>
          <w:lang w:val="sr-Latn-CS"/>
        </w:rPr>
        <w:t>a</w:t>
      </w:r>
      <w:r w:rsidRPr="00E57A35">
        <w:rPr>
          <w:bCs/>
          <w:lang w:val="sr-Cyrl-RS"/>
        </w:rPr>
        <w:t xml:space="preserve"> бесповратна средства које град/општина заједно са средствима Министарства додељује путем овог </w:t>
      </w:r>
      <w:r w:rsidR="00BA2C24" w:rsidRPr="00E57A35">
        <w:rPr>
          <w:bCs/>
          <w:lang w:val="sr-Cyrl-RS"/>
        </w:rPr>
        <w:t>позива</w:t>
      </w:r>
      <w:r w:rsidRPr="00E57A35">
        <w:rPr>
          <w:bCs/>
          <w:lang w:val="sr-Cyrl-RS"/>
        </w:rPr>
        <w:t xml:space="preserve"> износе </w:t>
      </w:r>
      <w:r w:rsidR="00FB2C4C">
        <w:rPr>
          <w:bCs/>
        </w:rPr>
        <w:t xml:space="preserve">9 </w:t>
      </w:r>
      <w:r w:rsidRPr="00E57A35">
        <w:rPr>
          <w:bCs/>
          <w:lang w:val="sr-Cyrl-RS"/>
        </w:rPr>
        <w:t>милиона динара</w:t>
      </w:r>
      <w:r w:rsidR="00EB3DA0" w:rsidRPr="00E57A35">
        <w:rPr>
          <w:bCs/>
          <w:lang w:val="sr-Cyrl-CS"/>
        </w:rPr>
        <w:t>.</w:t>
      </w:r>
    </w:p>
    <w:p w14:paraId="2CE885A7" w14:textId="18BB7098" w:rsidR="00F26A8D" w:rsidRPr="00E57A35" w:rsidRDefault="00FB2C4C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t>O</w:t>
      </w:r>
      <w:r w:rsidR="00F26A8D" w:rsidRPr="37CE7D14">
        <w:rPr>
          <w:lang w:val="sr-Cyrl-CS"/>
        </w:rPr>
        <w:t>пштина</w:t>
      </w:r>
      <w:r w:rsidR="002A6B6E" w:rsidRPr="37CE7D14">
        <w:rPr>
          <w:lang w:val="sr-Latn-CS"/>
        </w:rPr>
        <w:t xml:space="preserve"> </w:t>
      </w:r>
      <w:r w:rsidR="00F26A8D" w:rsidRPr="37CE7D14">
        <w:rPr>
          <w:lang w:val="sr-Cyrl-CS"/>
        </w:rPr>
        <w:t>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14:paraId="7D809473" w14:textId="06E29738"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  <w:lang w:val="sr-Cyrl-RS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  <w:lang w:val="sr-Cyrl-RS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14:paraId="22E1FB47" w14:textId="4B087D0C"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="00DE5ECC" w:rsidRPr="0CBC0FDF">
        <w:rPr>
          <w:color w:val="auto"/>
          <w:lang w:val="sr-Cyrl-CS"/>
        </w:rPr>
        <w:t xml:space="preserve"> 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</w:t>
      </w:r>
      <w:r w:rsidR="6D54EE04" w:rsidRPr="0CBC0FDF">
        <w:rPr>
          <w:color w:val="auto"/>
          <w:lang w:val="sr-Cyrl-CS"/>
        </w:rPr>
        <w:t xml:space="preserve"> </w:t>
      </w:r>
      <w:r w:rsidR="00F664D8" w:rsidRPr="0CBC0FDF">
        <w:rPr>
          <w:color w:val="auto"/>
          <w:lang w:val="sr-Cyrl-CS"/>
        </w:rPr>
        <w:t xml:space="preserve">из одељка </w:t>
      </w:r>
      <w:r w:rsidR="00F664D8" w:rsidRPr="0CBC0FDF">
        <w:rPr>
          <w:color w:val="auto"/>
          <w:lang w:val="en-US"/>
        </w:rPr>
        <w:t>I</w:t>
      </w:r>
      <w:r w:rsidR="00236435" w:rsidRPr="0CBC0FDF">
        <w:rPr>
          <w:color w:val="auto"/>
          <w:lang w:val="sr-Cyrl-CS"/>
        </w:rPr>
        <w:t>.</w:t>
      </w:r>
      <w:r w:rsidR="00F664D8" w:rsidRPr="0CBC0FDF">
        <w:rPr>
          <w:color w:val="auto"/>
          <w:lang w:val="en-US"/>
        </w:rPr>
        <w:t xml:space="preserve"> 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0EA0665">
        <w:rPr>
          <w:color w:val="auto"/>
          <w:lang w:val="en-US"/>
        </w:rPr>
        <w:t xml:space="preserve">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F26A8D" w:rsidRPr="0CBC0FDF">
        <w:rPr>
          <w:color w:val="auto"/>
          <w:lang w:val="sr-Cyrl-CS"/>
        </w:rPr>
        <w:t xml:space="preserve"> 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14:paraId="42B74C80" w14:textId="20EE356F"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2D621D" w:rsidRPr="00E57A35">
        <w:rPr>
          <w:bCs/>
          <w:iCs/>
          <w:color w:val="auto"/>
          <w:szCs w:val="24"/>
          <w:lang w:val="sr-Cyrl-CS"/>
        </w:rPr>
        <w:t xml:space="preserve"> </w:t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E40889" w:rsidRPr="00E57A35">
        <w:rPr>
          <w:bCs/>
          <w:color w:val="auto"/>
          <w:szCs w:val="24"/>
          <w:lang w:val="sr-Cyrl-CS"/>
        </w:rPr>
        <w:t xml:space="preserve"> 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386F30">
        <w:rPr>
          <w:bCs/>
          <w:color w:val="auto"/>
          <w:szCs w:val="24"/>
          <w:lang w:val="sr-Cyrl-CS"/>
        </w:rPr>
        <w:t xml:space="preserve">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14:paraId="0CFEA22B" w14:textId="11F2A8F6"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примену најмање две мере из одељка I.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14:paraId="1FA01308" w14:textId="361F609E"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14:paraId="5B06D15A" w14:textId="61F545AA"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14:paraId="4CC07AEC" w14:textId="0E599117" w:rsidR="004D387E" w:rsidRPr="00E57A35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>
        <w:rPr>
          <w:bCs/>
          <w:iCs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14:paraId="2F9A536C" w14:textId="5F4033B7"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030459" w:rsidRPr="1DB9880B">
        <w:rPr>
          <w:color w:val="auto"/>
          <w:lang w:val="sr-Cyrl-CS"/>
        </w:rPr>
        <w:t xml:space="preserve"> 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14:paraId="5EFC5CB6" w14:textId="77777777"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14:paraId="329D2CE3" w14:textId="77777777" w:rsidR="0042476D" w:rsidRPr="00E57A35" w:rsidRDefault="0042476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14:paraId="2CE94B89" w14:textId="428E2834"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015DAF"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14:paraId="12F40676" w14:textId="77777777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AF77F38" w14:textId="01346D7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lastRenderedPageBreak/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  <w:lang w:val="en-US" w:eastAsia="en-US"/>
              </w:rPr>
              <w:t>I</w:t>
            </w:r>
            <w:r w:rsidRPr="00F476B1">
              <w:rPr>
                <w:color w:val="auto"/>
                <w:sz w:val="22"/>
                <w:lang w:val="sr-Cyrl-CS" w:eastAsia="en-US"/>
              </w:rPr>
              <w:t>.</w:t>
            </w:r>
            <w:r w:rsidRPr="00F476B1">
              <w:rPr>
                <w:color w:val="auto"/>
                <w:sz w:val="22"/>
                <w:lang w:val="en-US" w:eastAsia="en-US"/>
              </w:rPr>
              <w:t xml:space="preserve"> </w:t>
            </w:r>
            <w:r w:rsidRPr="00F476B1">
              <w:rPr>
                <w:color w:val="auto"/>
                <w:sz w:val="22"/>
                <w:lang w:val="sr-Cyrl-CS" w:eastAsia="en-US"/>
              </w:rPr>
              <w:t>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14:paraId="21FAB875" w14:textId="63C89053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1F7199" w:rsidRPr="00F476B1" w14:paraId="66B34ECA" w14:textId="77777777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14:paraId="044017BA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4EAEB6BF" w14:textId="43CB4916"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1FA5A098" w14:textId="09F86CB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300EAD94" w14:textId="37E7663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 w:eastAsia="en-U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3E25CFBF" w14:textId="3D1984B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65%)</w:t>
            </w:r>
          </w:p>
        </w:tc>
      </w:tr>
      <w:tr w:rsidR="001F7199" w:rsidRPr="00F476B1" w14:paraId="5F10487C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26442C" w14:textId="2B8FF82B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2123902" w14:textId="51B7E45C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14:paraId="70366462" w14:textId="5C6DAD4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14:paraId="6177AF23" w14:textId="185FED3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14:paraId="343D153F" w14:textId="0F06CA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14:paraId="6B745BF1" w14:textId="14F8043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14:paraId="465CC078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9E9758" w14:textId="4D305539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2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920DC1D" w14:textId="1084009B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A361C3" w14:textId="19BD274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D02CAFB" w14:textId="7E74E69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FF5954E" w14:textId="6DB441C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782A3A9" w14:textId="5E22D2B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14:paraId="2115FCB8" w14:textId="77777777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A4784E" w14:textId="5242501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3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FA8320F" w14:textId="0ABDA4A7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0D3877B" w14:textId="72F1628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7B2D07B" w14:textId="045516B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7AF33C0" w14:textId="7BC8850F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6264083" w14:textId="1EF1856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14:paraId="5A192C2E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46400C" w14:textId="10904575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813CE25" w14:textId="4C7C2942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63ECCA1" w14:textId="3953895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7C10183" w14:textId="385A11D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EFAE77D" w14:textId="44B5AF9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93BA996" w14:textId="7BA37FE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14:paraId="7B1A790D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73F846" w14:textId="09C5547A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5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5086D65" w14:textId="63F4F65D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A6DE939" w14:textId="2F6F470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65B07AE0" w14:textId="726C04D4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FC9EBAC" w14:textId="2DE594E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F117C16" w14:textId="29269B0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14:paraId="2FA2D213" w14:textId="6E00FF6C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78EFB5FC" w14:textId="72467DE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6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F2585E0" w14:textId="61BC3BCE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14:paraId="3753D3B6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14:paraId="25BD967B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0551A20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7C297E1" w14:textId="2335E93E"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6842FD" w14:textId="2B24741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15D94BF" w14:textId="3502260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098242" w14:textId="34A1F3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760E21C" w14:textId="13A23F94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14:paraId="64F12B35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14F19988" w14:textId="77777777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9BC16A" w14:textId="51B791F6"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AE251CD" w14:textId="7BFC508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7DD07CAE" w14:textId="2E7A0C3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182A424" w14:textId="6D188A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B078E4F" w14:textId="6D2EBEF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14:paraId="32334B18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21A25EB1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D177847" w14:textId="5FD68DA1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6F0D56D" w14:textId="107911F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5F7E4AA" w14:textId="1B32CDB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401F708" w14:textId="4049EF7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59ECED1" w14:textId="07FAA9E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14:paraId="41CD78A3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6F55AD7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4EDA8EB" w14:textId="509849B7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3CDAA16" w14:textId="60F5F137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7EA8858B" w14:textId="070A4FAE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BD8FAD" w14:textId="0C8DCDC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EC7D91C" w14:textId="4BCCCB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14:paraId="723C17FB" w14:textId="77777777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1B59E247" w14:textId="353A4D09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14:paraId="624A7670" w14:textId="62697951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0C5CF782" w14:textId="46844AB2"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658FF7F0" w14:textId="42B613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5F27977D" w14:textId="47AFB75A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0CEB866E" w14:textId="700EC71B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14:paraId="13DCEFB1" w14:textId="77777777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14:paraId="4DB95EC2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14:paraId="5B7528DE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7B7F3C8F" w14:textId="079F27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14:paraId="5B432C37" w14:textId="2E5CDD83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3B0413F8" w14:textId="139910B2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267EF0B4" w14:textId="13C7D0E1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1F7199" w:rsidRPr="00F476B1" w14:paraId="610A0824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6C4F1B" w14:textId="2BDC28DB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8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23AA09" w14:textId="4A295FEF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623EBD8" w14:textId="024FF72B"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F476B1">
              <w:rPr>
                <w:rFonts w:eastAsia="Calibri"/>
                <w:color w:val="auto"/>
                <w:sz w:val="22"/>
                <w:lang w:val="en-US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B1B95E3" w14:textId="482805C6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0C51E5D5" w14:textId="09A44272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C84AB4" w14:textId="0FFE3DE9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14:paraId="61598274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2BA32F" w14:textId="3818256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9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02015EB" w14:textId="3E3186C5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0E9EE5C" w14:textId="32E9C6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EA186F4" w14:textId="4D9ACD51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5C2F138" w14:textId="7D95C49C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102B58" w14:textId="53F3BE8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14:paraId="472419D6" w14:textId="647ADB7B" w:rsidTr="004B3BAA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7F49A3C0" w14:textId="18AA133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10</w:t>
            </w:r>
            <w:r w:rsidRPr="00F476B1">
              <w:rPr>
                <w:color w:val="auto"/>
                <w:sz w:val="22"/>
                <w:lang w:val="sr-Cyrl-CS" w:eastAsia="en-U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71BF2C3" w14:textId="173A4513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14:paraId="5842F8CA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B649DA" w:rsidRPr="00F476B1" w14:paraId="6A5FCCA1" w14:textId="77777777" w:rsidTr="004B3BAA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14:paraId="7B0C1C08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A9C524C" w14:textId="4FB0AAC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CFDDB8" w14:textId="7434465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A364A1" w14:textId="147ABB5E" w:rsidR="00B649DA" w:rsidRPr="00A80F98" w:rsidRDefault="00B649DA" w:rsidP="00B649D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877892F" w14:textId="4372B720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C955A25" w14:textId="22E82663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14:paraId="488091F7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3DE6CB97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A1D3B6B" w14:textId="03DDA376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 w:eastAsia="en-U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 w:eastAsia="en-US"/>
              </w:rPr>
              <w:t>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FD5657A" w14:textId="3F155CB0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F63A0BE" w14:textId="319192AC" w:rsidR="00B649DA" w:rsidRPr="00A80F98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3FD581A" w14:textId="38B495F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001C8E1" w14:textId="02E92701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14:paraId="2EAA13D8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5C8C603D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054E2B9" w14:textId="2811F4D5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38B76A" w14:textId="458A0CC8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A9535EF" w14:textId="5C19301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A4E3AB6" w14:textId="4D560418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4583448" w14:textId="77E7F996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B649DA" w:rsidRPr="00F476B1" w14:paraId="02687379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21D6EF4E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4DA735FD" w14:textId="53EA470D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AA3E81" w14:textId="195EECC6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89CB3F3" w14:textId="69AE3661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CF231F" w14:textId="5B6907E5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A7F321D" w14:textId="6760C22B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B649DA" w:rsidRPr="00F476B1" w14:paraId="4C45EB2E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76352727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702C0025" w14:textId="66B169E9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E1049FB" w14:textId="0605CDA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23186F" w14:textId="27AE637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3529FA8" w14:textId="6829CA9A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415370D" w14:textId="264E6D0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B649DA" w:rsidRPr="00F476B1" w14:paraId="6549C47E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63A1D5A2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528D84C3" w14:textId="29B8B142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ђ</w:t>
            </w:r>
            <w:r w:rsidRPr="00F476B1">
              <w:rPr>
                <w:color w:val="auto"/>
                <w:sz w:val="22"/>
                <w:lang w:val="sr-Cyrl-CS" w:eastAsia="en-US"/>
              </w:rPr>
              <w:t>) Сертификат о енергетским својствима после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79A6E86" w14:textId="2D74E80D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E68AD58" w14:textId="78F7019A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249D84D" w14:textId="37056AB4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2CBF2A" w14:textId="65DB5BAC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14:paraId="5931D700" w14:textId="77777777"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14:paraId="42A03379" w14:textId="6070A73C"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en-U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14:paraId="14076C7D" w14:textId="2B58BEFC" w:rsidR="00543ED3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</w:rPr>
        <w:t xml:space="preserve"> </w:t>
      </w:r>
      <w:r w:rsidR="00543ED3" w:rsidRPr="005F2821">
        <w:rPr>
          <w:color w:val="auto"/>
          <w:sz w:val="22"/>
          <w:lang w:val="sr-Cyrl-CS"/>
        </w:rPr>
        <w:t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9D6094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7C2A23" w:rsidRPr="005F2821">
        <w:rPr>
          <w:color w:val="auto"/>
          <w:sz w:val="22"/>
          <w:lang w:val="sr-Cyrl-CS"/>
        </w:rPr>
        <w:t>Мера израде техничке 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</w:t>
      </w:r>
      <w:r w:rsidR="00A33EB2">
        <w:rPr>
          <w:color w:val="auto"/>
          <w:sz w:val="22"/>
          <w:lang w:val="sr-Cyrl-CS"/>
        </w:rPr>
        <w:t>ђ</w:t>
      </w:r>
      <w:r w:rsidR="00F33AA3">
        <w:rPr>
          <w:color w:val="auto"/>
          <w:sz w:val="22"/>
          <w:lang w:val="sr-Cyrl-CS"/>
        </w:rPr>
        <w:t>)</w:t>
      </w:r>
      <w:r w:rsidR="009F62F9">
        <w:rPr>
          <w:color w:val="auto"/>
          <w:sz w:val="22"/>
          <w:lang w:val="sr-Cyrl-CS"/>
        </w:rPr>
        <w:t xml:space="preserve"> према важећој законској регулативи.</w:t>
      </w:r>
      <w:r w:rsidR="00DB0627" w:rsidRPr="00DB0627">
        <w:rPr>
          <w:color w:val="auto"/>
          <w:sz w:val="22"/>
          <w:lang w:val="sr-Cyrl-CS"/>
        </w:rPr>
        <w:t xml:space="preserve"> </w:t>
      </w:r>
      <w:r w:rsidR="00DB0627" w:rsidRPr="5856D2EA">
        <w:rPr>
          <w:color w:val="auto"/>
          <w:sz w:val="22"/>
          <w:lang w:val="sr-Cyrl-CS"/>
        </w:rPr>
        <w:t xml:space="preserve">Крајњи корисник је у обавези да достави Комисији израђену техничку документацију у </w:t>
      </w:r>
      <w:r w:rsidR="00DB0627" w:rsidRPr="5856D2EA">
        <w:rPr>
          <w:color w:val="auto"/>
          <w:sz w:val="22"/>
          <w:lang w:val="sr-Cyrl-CS"/>
        </w:rPr>
        <w:lastRenderedPageBreak/>
        <w:t>електронској форми</w:t>
      </w:r>
      <w:r w:rsidR="00C22795">
        <w:rPr>
          <w:color w:val="auto"/>
          <w:sz w:val="22"/>
          <w:lang w:val="sr-Cyrl-CS"/>
        </w:rPr>
        <w:t xml:space="preserve"> ради архивирања и извештавања </w:t>
      </w:r>
      <w:r w:rsidR="005B303A" w:rsidRPr="005B303A">
        <w:rPr>
          <w:color w:val="auto"/>
          <w:sz w:val="22"/>
          <w:lang w:val="sr-Cyrl-CS"/>
        </w:rPr>
        <w:t>Јединиц</w:t>
      </w:r>
      <w:r w:rsidR="005B303A">
        <w:rPr>
          <w:color w:val="auto"/>
          <w:sz w:val="22"/>
          <w:lang w:val="sr-Cyrl-CS"/>
        </w:rPr>
        <w:t>и</w:t>
      </w:r>
      <w:r w:rsidR="005B303A" w:rsidRPr="005B303A">
        <w:rPr>
          <w:color w:val="auto"/>
          <w:sz w:val="22"/>
          <w:lang w:val="sr-Cyrl-CS"/>
        </w:rPr>
        <w:t xml:space="preserve">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14:paraId="3F8A636E" w14:textId="77777777"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14:paraId="61C58EEF" w14:textId="52CFDECC"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24"/>
        <w:gridCol w:w="2551"/>
      </w:tblGrid>
      <w:tr w:rsidR="008B4533" w:rsidRPr="00F476B1" w14:paraId="6BF18831" w14:textId="77777777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14:paraId="5B3735E6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1B8CB2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8B4533" w:rsidRPr="00F476B1" w14:paraId="2F9DEF56" w14:textId="77777777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C984FEE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5A3F54E5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EE0E15" w14:textId="3D27AA4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14:paraId="5D074B27" w14:textId="77777777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E9407CB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FFBBDD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D1523D" w14:textId="5C5431B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14:paraId="78172BD5" w14:textId="77777777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14:paraId="7B654F4D" w14:textId="3FD7FB87"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35C23FD2" w14:textId="28FB50FA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</w:p>
        </w:tc>
      </w:tr>
      <w:tr w:rsidR="000808CE" w:rsidRPr="00F476B1" w14:paraId="5415003A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6B38420C" w14:textId="72263BFB"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84AB267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4CC239" w14:textId="046E216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14:paraId="1CB7342D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44B680DE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287AAFA6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91F765" w14:textId="4C4BEF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14:paraId="78F40780" w14:textId="77777777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0E3E80E2" w14:textId="72B71223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14:paraId="0EE322D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3ABB4EB1" w14:textId="5C241DE7"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14:paraId="71B07F77" w14:textId="77777777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14:paraId="44D0A33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14:paraId="1312A6F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D9B07E0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0808CE" w:rsidRPr="00F476B1" w14:paraId="1C608F03" w14:textId="77777777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14:paraId="7E9DD4D0" w14:textId="743FBCB3"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244C40D9" w14:textId="314591A6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</w:p>
        </w:tc>
      </w:tr>
      <w:tr w:rsidR="002901D8" w:rsidRPr="00F476B1" w14:paraId="733706E4" w14:textId="77777777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14:paraId="20CCF66C" w14:textId="5EA0A6AE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2164A39" w14:textId="4C37261F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409A60" w14:textId="06A399CD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14:paraId="4051FF9F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11044F4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0831FC51" w14:textId="4D4FEF31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 w:eastAsia="en-U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 w:eastAsia="en-US"/>
              </w:rPr>
              <w:t>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D05F09" w14:textId="0E97FA9A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14:paraId="6C7224F0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4C85EFD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35F0DCCA" w14:textId="74808F02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AAFAB5" w14:textId="7775AA94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2901D8" w:rsidRPr="00F476B1" w14:paraId="10BBC767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72000146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053DBE76" w14:textId="02FB2C74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3EADB3" w14:textId="781DD84A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2901D8" w:rsidRPr="00F476B1" w14:paraId="331794BB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4A15EA92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45D4CE90" w14:textId="57D2CB58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15C16A" w14:textId="2BFF77B6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2901D8" w:rsidRPr="00F476B1" w14:paraId="582AE1D1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0EDD74CA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0D62FF7" w14:textId="02A03918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ђ</w:t>
            </w:r>
            <w:r w:rsidRPr="00F476B1">
              <w:rPr>
                <w:color w:val="auto"/>
                <w:sz w:val="22"/>
                <w:lang w:val="sr-Cyrl-CS" w:eastAsia="en-US"/>
              </w:rPr>
              <w:t>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749F2C" w14:textId="57BAF521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14:paraId="4E7F1506" w14:textId="164612BB"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14:paraId="18317A91" w14:textId="31262610"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Мера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14:paraId="1A4A235E" w14:textId="3A5AE1A9" w:rsidR="00C967E5" w:rsidRPr="00E57A35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color w:val="auto"/>
          <w:sz w:val="22"/>
          <w:lang w:val="en-US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195A90" w:rsidRPr="5856D2EA">
        <w:rPr>
          <w:color w:val="auto"/>
          <w:sz w:val="22"/>
        </w:rPr>
        <w:t xml:space="preserve"> 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техничке документације</w:t>
      </w:r>
      <w:r w:rsidR="00195A90" w:rsidRPr="5856D2EA">
        <w:rPr>
          <w:color w:val="auto"/>
          <w:sz w:val="22"/>
          <w:lang w:val="sr-Cyrl-CS"/>
        </w:rPr>
        <w:t xml:space="preserve"> не може бити </w:t>
      </w:r>
      <w:r w:rsidR="00543ED3" w:rsidRPr="5856D2EA">
        <w:rPr>
          <w:color w:val="auto"/>
          <w:sz w:val="22"/>
          <w:lang w:val="sr-Cyrl-CS"/>
        </w:rPr>
        <w:t xml:space="preserve">примењена </w:t>
      </w:r>
      <w:r w:rsidR="00195A90" w:rsidRPr="5856D2EA">
        <w:rPr>
          <w:color w:val="auto"/>
          <w:sz w:val="22"/>
          <w:lang w:val="sr-Cyrl-CS"/>
        </w:rPr>
        <w:t>самостално</w:t>
      </w:r>
      <w:r w:rsidR="003807F4" w:rsidRPr="5856D2EA">
        <w:rPr>
          <w:color w:val="auto"/>
          <w:sz w:val="22"/>
          <w:lang w:val="sr-Cyrl-CS"/>
        </w:rPr>
        <w:t>,</w:t>
      </w:r>
      <w:r w:rsidR="00195A90" w:rsidRPr="5856D2EA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5856D2EA">
        <w:rPr>
          <w:color w:val="auto"/>
          <w:sz w:val="22"/>
          <w:lang w:val="sr-Cyrl-CS"/>
        </w:rPr>
        <w:t>)</w:t>
      </w:r>
      <w:r w:rsidR="00543ED3" w:rsidRPr="5856D2EA">
        <w:rPr>
          <w:color w:val="auto"/>
          <w:sz w:val="22"/>
          <w:lang w:val="sr-Cyrl-CS"/>
        </w:rPr>
        <w:t xml:space="preserve">, 4) и </w:t>
      </w:r>
      <w:r w:rsidR="00195A90" w:rsidRPr="5856D2EA">
        <w:rPr>
          <w:color w:val="auto"/>
          <w:sz w:val="22"/>
          <w:lang w:val="sr-Cyrl-CS"/>
        </w:rPr>
        <w:t>6</w:t>
      </w:r>
      <w:r w:rsidR="003807F4" w:rsidRPr="5856D2EA">
        <w:rPr>
          <w:color w:val="auto"/>
          <w:sz w:val="22"/>
          <w:lang w:val="sr-Cyrl-CS"/>
        </w:rPr>
        <w:t>)</w:t>
      </w:r>
      <w:r w:rsidR="00195A90" w:rsidRPr="5856D2EA">
        <w:rPr>
          <w:color w:val="auto"/>
          <w:sz w:val="22"/>
          <w:lang w:val="sr-Cyrl-CS"/>
        </w:rPr>
        <w:t xml:space="preserve"> .</w:t>
      </w:r>
      <w:r w:rsidR="0096241E" w:rsidRPr="5856D2E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</w:t>
      </w:r>
      <w:r w:rsidR="002901D8">
        <w:rPr>
          <w:color w:val="auto"/>
          <w:sz w:val="22"/>
          <w:lang w:val="sr-Cyrl-CS"/>
        </w:rPr>
        <w:t>ђ</w:t>
      </w:r>
      <w:r w:rsidR="0096241E" w:rsidRPr="5856D2EA">
        <w:rPr>
          <w:color w:val="auto"/>
          <w:sz w:val="22"/>
          <w:lang w:val="sr-Cyrl-CS"/>
        </w:rPr>
        <w:t>) према важећој законској регулативи.</w:t>
      </w:r>
      <w:r w:rsidR="00C376F9" w:rsidRPr="00C376F9">
        <w:rPr>
          <w:color w:val="auto"/>
          <w:sz w:val="22"/>
          <w:lang w:val="sr-Cyrl-CS"/>
        </w:rPr>
        <w:t xml:space="preserve"> </w:t>
      </w:r>
      <w:r w:rsidR="00C376F9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376F9">
        <w:rPr>
          <w:color w:val="auto"/>
          <w:sz w:val="22"/>
          <w:lang w:val="sr-Cyrl-CS"/>
        </w:rPr>
        <w:t xml:space="preserve"> ради архивирања и извештавања</w:t>
      </w:r>
      <w:r w:rsidR="00C376F9" w:rsidRPr="005B303A">
        <w:rPr>
          <w:color w:val="auto"/>
          <w:sz w:val="22"/>
          <w:lang w:val="sr-Cyrl-CS"/>
        </w:rPr>
        <w:t xml:space="preserve"> ЈИП.</w:t>
      </w:r>
    </w:p>
    <w:p w14:paraId="69C1A40D" w14:textId="77777777"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14:paraId="3EE396A2" w14:textId="616E5845"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</w:t>
      </w:r>
      <w:r w:rsidRPr="37CE7D14">
        <w:rPr>
          <w:color w:val="auto"/>
          <w:u w:val="single"/>
          <w:lang w:val="sr-Cyrl-CS"/>
        </w:rPr>
        <w:t xml:space="preserve"> </w:t>
      </w:r>
      <w:r w:rsidR="00543ED3" w:rsidRPr="37CE7D14">
        <w:rPr>
          <w:color w:val="auto"/>
          <w:u w:val="single"/>
          <w:lang w:val="sr-Cyrl-CS"/>
        </w:rPr>
        <w:t>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14:paraId="11D36A87" w14:textId="77777777"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14:paraId="42B6D014" w14:textId="77777777"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14:paraId="51234511" w14:textId="2DB0DCE2" w:rsidR="004A77A6" w:rsidRPr="00E57A35" w:rsidRDefault="004A77A6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   </w:t>
      </w:r>
      <w:r w:rsidR="00EF4D78" w:rsidRPr="00E57A35">
        <w:rPr>
          <w:noProof/>
          <w:color w:val="auto"/>
          <w:szCs w:val="24"/>
          <w:lang w:val="en-US"/>
        </w:rPr>
        <w:t>I</w:t>
      </w:r>
      <w:r w:rsidR="008B407A" w:rsidRPr="00E57A35">
        <w:rPr>
          <w:noProof/>
          <w:color w:val="auto"/>
          <w:szCs w:val="24"/>
          <w:lang w:val="en-US"/>
        </w:rPr>
        <w:t>V</w:t>
      </w:r>
      <w:r w:rsidRPr="00E57A35">
        <w:rPr>
          <w:color w:val="auto"/>
          <w:szCs w:val="24"/>
          <w:lang w:val="sr-Latn-CS"/>
        </w:rPr>
        <w:t>.</w:t>
      </w:r>
      <w:r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Pr="00E57A35">
        <w:rPr>
          <w:color w:val="auto"/>
          <w:szCs w:val="24"/>
        </w:rPr>
        <w:t>ПОДСТИЦАЈА ЗА ЕНЕРГЕТСКУ САНАЦИЈУ СТАМБЕНИХ ОБЈЕКТА</w:t>
      </w:r>
    </w:p>
    <w:p w14:paraId="511D906A" w14:textId="77777777"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14:paraId="763A1A48" w14:textId="6CD9AAAE"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 w:eastAsia="en-US"/>
        </w:rPr>
      </w:pPr>
      <w:r w:rsidRPr="00E57A35">
        <w:rPr>
          <w:bCs/>
          <w:iCs/>
          <w:color w:val="auto"/>
          <w:szCs w:val="24"/>
          <w:lang w:val="sr-Cyrl-CS"/>
        </w:rPr>
        <w:lastRenderedPageBreak/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1EFD69E6" w14:textId="2808552D"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  <w:lang w:val="sr-Cyrl-RS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A032D0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 xml:space="preserve"> максимално две појединачне мере из тач. 1)-6)</w:t>
      </w:r>
      <w:r w:rsidR="00381AEC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 xml:space="preserve">или за пакет мера из одељка </w:t>
      </w:r>
      <w:r w:rsidRPr="1DB9880B">
        <w:rPr>
          <w:color w:val="auto"/>
          <w:lang w:val="en-US"/>
        </w:rPr>
        <w:t>I</w:t>
      </w:r>
      <w:r w:rsidR="00C664F5" w:rsidRPr="1DB9880B">
        <w:rPr>
          <w:color w:val="auto"/>
          <w:lang w:val="en-US"/>
        </w:rPr>
        <w:t>I</w:t>
      </w:r>
      <w:r w:rsidRPr="1DB9880B">
        <w:rPr>
          <w:color w:val="auto"/>
          <w:lang w:val="en-US"/>
        </w:rPr>
        <w:t>I</w:t>
      </w:r>
      <w:r w:rsidRPr="1DB9880B">
        <w:rPr>
          <w:color w:val="auto"/>
          <w:lang w:val="sr-Cyrl-RS"/>
        </w:rPr>
        <w:t>, став 5.</w:t>
      </w:r>
    </w:p>
    <w:p w14:paraId="2E0F2BF3" w14:textId="7FBE37B2"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RS"/>
        </w:rPr>
        <w:tab/>
      </w:r>
      <w:r>
        <w:rPr>
          <w:bCs/>
          <w:iCs/>
          <w:color w:val="auto"/>
          <w:szCs w:val="24"/>
          <w:lang w:val="sr-Cyrl-RS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</w:t>
      </w:r>
      <w:r w:rsidR="00A05A82"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14:paraId="1715E36B" w14:textId="4D4B9A15"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en-US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  <w:lang w:val="en-US"/>
        </w:rPr>
        <w:t>a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99553D" w:rsidRPr="00E57A35">
        <w:rPr>
          <w:iCs/>
          <w:color w:val="auto"/>
          <w:lang w:val="sr-Cyrl-CS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14:paraId="3DC2470E" w14:textId="77777777"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09F55C00" w14:textId="7A65ED70"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  <w:lang w:val="sr-Cyrl-CS"/>
        </w:rPr>
        <w:t xml:space="preserve"> </w:t>
      </w:r>
      <w:r w:rsidR="008022D8" w:rsidRPr="1DB9880B">
        <w:rPr>
          <w:color w:val="auto"/>
          <w:lang w:val="en-US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Pr="1DB9880B">
        <w:rPr>
          <w:color w:val="auto"/>
        </w:rPr>
        <w:t xml:space="preserve"> 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  <w:lang w:val="sr-Cyrl-RS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  <w:lang w:val="sr-Cyrl-RS"/>
        </w:rPr>
        <w:t>замену комплетне дотрајале столарије 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24D729AB" w14:textId="77777777"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14:paraId="282CB240" w14:textId="289C6D62"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  <w:lang w:val="en-US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  <w:lang w:val="en-US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="00213DE8" w:rsidRPr="00E57A35" w:rsidDel="00213DE8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="0040362F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до</w:t>
      </w:r>
      <w:r w:rsidR="006F0C72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уграђује.</w:t>
      </w:r>
    </w:p>
    <w:p w14:paraId="4268B88B" w14:textId="2E26BFBB"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Pr="0CBC0FDF">
        <w:rPr>
          <w:color w:val="000000" w:themeColor="text1"/>
          <w:lang w:val="sr-Cyrl-CS"/>
        </w:rPr>
        <w:t xml:space="preserve"> 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14:paraId="45BE960C" w14:textId="69DB400C"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14:paraId="3D42A880" w14:textId="0F097436"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14:paraId="2524F70D" w14:textId="61E454D3"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>гу</w:t>
      </w:r>
      <w:r w:rsidRPr="37CE7D14">
        <w:rPr>
          <w:color w:val="000000" w:themeColor="text1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  <w:r w:rsidR="00232AD0" w:rsidRPr="37CE7D14">
        <w:rPr>
          <w:color w:val="auto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 </w:t>
      </w:r>
    </w:p>
    <w:p w14:paraId="0BE8B16C" w14:textId="261C0B9F"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14:paraId="24FA96D1" w14:textId="539BA027" w:rsidR="007B552F" w:rsidRDefault="007B552F" w:rsidP="37CE7D14">
      <w:pPr>
        <w:spacing w:after="0" w:line="240" w:lineRule="auto"/>
        <w:ind w:firstLine="647"/>
        <w:rPr>
          <w:color w:val="auto"/>
          <w:szCs w:val="24"/>
          <w:lang w:val="sr-Cyrl-CS"/>
        </w:rPr>
      </w:pPr>
      <w:r w:rsidRPr="00FB2C4C">
        <w:rPr>
          <w:color w:val="auto"/>
          <w:szCs w:val="24"/>
          <w:lang w:val="sr-Cyrl-CS"/>
        </w:rPr>
        <w:t xml:space="preserve">Крајњи корисник је у обавези да достави </w:t>
      </w:r>
      <w:r w:rsidR="00A24BA3" w:rsidRPr="00FB2C4C">
        <w:rPr>
          <w:color w:val="auto"/>
          <w:szCs w:val="24"/>
          <w:lang w:val="sr-Cyrl-CS"/>
        </w:rPr>
        <w:t xml:space="preserve">податак о </w:t>
      </w:r>
      <w:r w:rsidR="00C21F3E" w:rsidRPr="00FB2C4C">
        <w:rPr>
          <w:color w:val="auto"/>
          <w:szCs w:val="24"/>
          <w:lang w:val="sr-Cyrl-CS"/>
        </w:rPr>
        <w:t xml:space="preserve">просечној годишњој </w:t>
      </w:r>
      <w:r w:rsidR="00A24BA3" w:rsidRPr="00FB2C4C">
        <w:rPr>
          <w:color w:val="auto"/>
          <w:szCs w:val="24"/>
          <w:lang w:val="sr-Cyrl-CS"/>
        </w:rPr>
        <w:t>потрошњи</w:t>
      </w:r>
      <w:r w:rsidR="00BF5404" w:rsidRPr="00FB2C4C">
        <w:rPr>
          <w:color w:val="auto"/>
          <w:szCs w:val="24"/>
          <w:lang w:val="sr-Cyrl-CS"/>
        </w:rPr>
        <w:t xml:space="preserve"> </w:t>
      </w:r>
      <w:r w:rsidR="000253C6" w:rsidRPr="00FB2C4C">
        <w:rPr>
          <w:color w:val="auto"/>
          <w:szCs w:val="24"/>
          <w:lang w:val="sr-Cyrl-CS"/>
        </w:rPr>
        <w:t>енергије</w:t>
      </w:r>
      <w:r w:rsidR="008E2B2F" w:rsidRPr="00FB2C4C">
        <w:rPr>
          <w:color w:val="auto"/>
          <w:szCs w:val="24"/>
          <w:lang w:val="sr-Cyrl-CS"/>
        </w:rPr>
        <w:t xml:space="preserve"> одн. </w:t>
      </w:r>
      <w:r w:rsidR="00B77180" w:rsidRPr="00FB2C4C">
        <w:rPr>
          <w:color w:val="auto"/>
          <w:szCs w:val="24"/>
          <w:lang w:val="sr-Cyrl-CS"/>
        </w:rPr>
        <w:t>е</w:t>
      </w:r>
      <w:r w:rsidR="00CA4A44" w:rsidRPr="00FB2C4C">
        <w:rPr>
          <w:color w:val="auto"/>
          <w:szCs w:val="24"/>
          <w:lang w:val="sr-Cyrl-CS"/>
        </w:rPr>
        <w:t>нергента</w:t>
      </w:r>
      <w:r w:rsidR="00B77180" w:rsidRPr="00FB2C4C">
        <w:rPr>
          <w:color w:val="auto"/>
          <w:szCs w:val="24"/>
          <w:lang w:val="sr-Cyrl-CS"/>
        </w:rPr>
        <w:t xml:space="preserve"> </w:t>
      </w:r>
      <w:r w:rsidR="00CC40F3" w:rsidRPr="00FB2C4C">
        <w:rPr>
          <w:color w:val="auto"/>
          <w:szCs w:val="24"/>
          <w:lang w:val="sr-Cyrl-CS"/>
        </w:rPr>
        <w:t>у период</w:t>
      </w:r>
      <w:r w:rsidR="00C21F3E" w:rsidRPr="00FB2C4C">
        <w:rPr>
          <w:color w:val="auto"/>
          <w:szCs w:val="24"/>
          <w:lang w:val="sr-Cyrl-CS"/>
        </w:rPr>
        <w:t xml:space="preserve">у </w:t>
      </w:r>
      <w:r w:rsidR="00B77180" w:rsidRPr="00FB2C4C">
        <w:rPr>
          <w:color w:val="auto"/>
          <w:szCs w:val="24"/>
          <w:lang w:val="sr-Cyrl-CS"/>
        </w:rPr>
        <w:t>пре</w:t>
      </w:r>
      <w:r w:rsidR="00D63439" w:rsidRPr="00FB2C4C">
        <w:rPr>
          <w:color w:val="auto"/>
          <w:szCs w:val="24"/>
          <w:lang w:val="sr-Cyrl-CS"/>
        </w:rPr>
        <w:t xml:space="preserve"> извршене енер</w:t>
      </w:r>
      <w:r w:rsidR="00CA4FE3" w:rsidRPr="00FB2C4C">
        <w:rPr>
          <w:color w:val="auto"/>
          <w:szCs w:val="24"/>
          <w:lang w:val="sr-Cyrl-CS"/>
        </w:rPr>
        <w:t>гетске санације</w:t>
      </w:r>
      <w:r w:rsidRPr="00FB2C4C">
        <w:rPr>
          <w:color w:val="auto"/>
          <w:szCs w:val="24"/>
          <w:lang w:val="sr-Cyrl-CS"/>
        </w:rPr>
        <w:t>.</w:t>
      </w:r>
      <w:r w:rsidR="001F36F1" w:rsidRPr="00FB2C4C">
        <w:rPr>
          <w:color w:val="auto"/>
          <w:szCs w:val="24"/>
          <w:lang w:val="sr-Cyrl-CS"/>
        </w:rPr>
        <w:t xml:space="preserve"> Крајњи корисник је у обавези да достав</w:t>
      </w:r>
      <w:r w:rsidR="007D2F89" w:rsidRPr="00FB2C4C">
        <w:rPr>
          <w:color w:val="auto"/>
          <w:szCs w:val="24"/>
          <w:lang w:val="sr-Cyrl-CS"/>
        </w:rPr>
        <w:t>ља</w:t>
      </w:r>
      <w:r w:rsidR="001F36F1" w:rsidRPr="00FB2C4C">
        <w:rPr>
          <w:color w:val="auto"/>
          <w:szCs w:val="24"/>
          <w:lang w:val="sr-Cyrl-CS"/>
        </w:rPr>
        <w:t xml:space="preserve"> подат</w:t>
      </w:r>
      <w:r w:rsidR="007D2F89" w:rsidRPr="00FB2C4C">
        <w:rPr>
          <w:color w:val="auto"/>
          <w:szCs w:val="24"/>
          <w:lang w:val="sr-Cyrl-CS"/>
        </w:rPr>
        <w:t>ке</w:t>
      </w:r>
      <w:r w:rsidR="001F36F1" w:rsidRPr="00FB2C4C">
        <w:rPr>
          <w:color w:val="auto"/>
          <w:szCs w:val="24"/>
          <w:lang w:val="sr-Cyrl-CS"/>
        </w:rPr>
        <w:t xml:space="preserve"> о просечној годишњој потрошњи енергије одн. енергента у периоду </w:t>
      </w:r>
      <w:r w:rsidR="00BF440F" w:rsidRPr="00FB2C4C">
        <w:rPr>
          <w:color w:val="auto"/>
          <w:szCs w:val="24"/>
          <w:lang w:val="sr-Cyrl-CS"/>
        </w:rPr>
        <w:t>после</w:t>
      </w:r>
      <w:r w:rsidR="001F36F1" w:rsidRPr="00FB2C4C">
        <w:rPr>
          <w:color w:val="auto"/>
          <w:szCs w:val="24"/>
          <w:lang w:val="sr-Cyrl-CS"/>
        </w:rPr>
        <w:t xml:space="preserve"> извршене енергетске санације</w:t>
      </w:r>
      <w:r w:rsidR="00A06ED1" w:rsidRPr="00FB2C4C">
        <w:rPr>
          <w:color w:val="auto"/>
          <w:szCs w:val="24"/>
          <w:lang w:val="sr-Cyrl-CS"/>
        </w:rPr>
        <w:t xml:space="preserve"> у току од најмање т</w:t>
      </w:r>
      <w:r w:rsidR="00EB457F" w:rsidRPr="00FB2C4C">
        <w:rPr>
          <w:color w:val="auto"/>
          <w:szCs w:val="24"/>
          <w:lang w:val="sr-Cyrl-CS"/>
        </w:rPr>
        <w:t>ри године</w:t>
      </w:r>
      <w:r w:rsidR="001F36F1" w:rsidRPr="00FB2C4C">
        <w:rPr>
          <w:color w:val="auto"/>
          <w:szCs w:val="24"/>
          <w:lang w:val="sr-Cyrl-CS"/>
        </w:rPr>
        <w:t>.</w:t>
      </w:r>
    </w:p>
    <w:p w14:paraId="168DFEF7" w14:textId="77777777" w:rsidR="00FB2C4C" w:rsidRDefault="00FB2C4C" w:rsidP="37CE7D14">
      <w:pPr>
        <w:spacing w:after="0" w:line="240" w:lineRule="auto"/>
        <w:ind w:firstLine="647"/>
        <w:rPr>
          <w:color w:val="auto"/>
          <w:szCs w:val="24"/>
          <w:lang w:val="sr-Cyrl-CS"/>
        </w:rPr>
      </w:pPr>
    </w:p>
    <w:p w14:paraId="607B0CA4" w14:textId="77777777" w:rsidR="00FB2C4C" w:rsidRDefault="00FB2C4C" w:rsidP="37CE7D14">
      <w:pPr>
        <w:spacing w:after="0" w:line="240" w:lineRule="auto"/>
        <w:ind w:firstLine="647"/>
        <w:rPr>
          <w:color w:val="auto"/>
          <w:szCs w:val="24"/>
          <w:lang w:val="sr-Cyrl-CS"/>
        </w:rPr>
      </w:pPr>
    </w:p>
    <w:p w14:paraId="6BA0D148" w14:textId="77777777" w:rsidR="00FB2C4C" w:rsidRPr="00FB2C4C" w:rsidRDefault="00FB2C4C" w:rsidP="37CE7D14">
      <w:pPr>
        <w:spacing w:after="0" w:line="240" w:lineRule="auto"/>
        <w:ind w:firstLine="647"/>
        <w:rPr>
          <w:color w:val="auto"/>
          <w:szCs w:val="24"/>
        </w:rPr>
      </w:pPr>
    </w:p>
    <w:p w14:paraId="7E09C371" w14:textId="280D4B6E"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lastRenderedPageBreak/>
        <w:t>V</w:t>
      </w:r>
      <w:r w:rsidR="00D71706" w:rsidRPr="00E57A35">
        <w:rPr>
          <w:noProof/>
          <w:color w:val="auto"/>
          <w:szCs w:val="24"/>
          <w:lang w:val="sr-Latn-CS"/>
        </w:rPr>
        <w:t>.</w:t>
      </w:r>
      <w:r w:rsidR="00EF4D78" w:rsidRPr="00E57A35">
        <w:rPr>
          <w:noProof/>
          <w:color w:val="auto"/>
          <w:szCs w:val="24"/>
          <w:lang w:val="en-US"/>
        </w:rPr>
        <w:t xml:space="preserve"> 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14:paraId="579BCC79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0F0012B4" w14:textId="54899B7F"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color w:val="auto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14:paraId="0C008500" w14:textId="1CF6A077"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14:paraId="10DA4794" w14:textId="77777777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14:paraId="20F8B77C" w14:textId="5DEE736C"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  <w:r w:rsidRPr="00E57A35">
        <w:rPr>
          <w:color w:val="auto"/>
          <w:szCs w:val="24"/>
          <w:lang w:val="sr-Cyrl-CS"/>
        </w:rPr>
        <w:t xml:space="preserve">   </w:t>
      </w:r>
    </w:p>
    <w:p w14:paraId="00A3C4CD" w14:textId="6E79CF79"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14:paraId="25C19B28" w14:textId="6B192E08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Pr="00E57A35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  <w:r w:rsidRPr="00E57A35">
        <w:rPr>
          <w:bCs/>
          <w:color w:val="auto"/>
          <w:szCs w:val="24"/>
          <w:lang w:val="sr-Cyrl-CS"/>
        </w:rPr>
        <w:t xml:space="preserve"> </w:t>
      </w:r>
    </w:p>
    <w:p w14:paraId="3FD96285" w14:textId="77777777" w:rsidR="00EF4D78" w:rsidRPr="00E57A35" w:rsidRDefault="00EF4D78" w:rsidP="006832B0">
      <w:pPr>
        <w:ind w:left="0" w:firstLine="0"/>
        <w:rPr>
          <w:color w:val="auto"/>
        </w:rPr>
      </w:pPr>
    </w:p>
    <w:p w14:paraId="11A54FBA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НЕПРИХВАТЉИВИ ТРОШКОВИ</w:t>
      </w:r>
    </w:p>
    <w:p w14:paraId="0DF04A05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654652D" w14:textId="37458D47"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Latn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14:paraId="7EBA547F" w14:textId="42530D3D"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општине</w:t>
      </w:r>
      <w:r w:rsidR="00145D33">
        <w:rPr>
          <w:bCs/>
          <w:color w:val="auto"/>
          <w:szCs w:val="24"/>
          <w:lang w:val="en-US"/>
        </w:rPr>
        <w:t xml:space="preserve"> </w:t>
      </w:r>
      <w:r w:rsidR="00145D33">
        <w:rPr>
          <w:color w:val="auto"/>
          <w:lang w:val="sr-Cyrl-RS"/>
        </w:rPr>
        <w:t>Горњи Милановац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14:paraId="4D489495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14:paraId="7478E920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14:paraId="5D945806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14:paraId="1F01D17F" w14:textId="350C5619"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  <w:r w:rsidR="00DF22C0" w:rsidRPr="00E57A35">
        <w:rPr>
          <w:bCs/>
          <w:color w:val="auto"/>
          <w:szCs w:val="24"/>
          <w:lang w:val="sr-Cyrl-CS"/>
        </w:rPr>
        <w:t xml:space="preserve"> </w:t>
      </w:r>
    </w:p>
    <w:p w14:paraId="23CEBD85" w14:textId="77777777"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  <w:lang w:val="en-US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  <w:lang w:val="en-US"/>
        </w:rPr>
        <w:t>.</w:t>
      </w:r>
    </w:p>
    <w:p w14:paraId="4D495CA0" w14:textId="77777777"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14:paraId="127340A4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  <w:lang w:val="sr-Cyrl-RS"/>
        </w:rPr>
        <w:t>ПОЗИВ</w:t>
      </w:r>
    </w:p>
    <w:p w14:paraId="6A83973C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54DD9D3" w14:textId="0DF860BA"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14:paraId="26AA4540" w14:textId="77777777"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14:paraId="6D2F7AAB" w14:textId="3C76B692"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</w:t>
      </w:r>
      <w:r w:rsidR="00861C91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>(фасадних) елемената и грејног система објекта;</w:t>
      </w:r>
    </w:p>
    <w:p w14:paraId="4111A9A4" w14:textId="7235D598"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  <w:r w:rsidR="00807B68" w:rsidRPr="005F2821">
        <w:rPr>
          <w:color w:val="auto"/>
          <w:szCs w:val="24"/>
          <w:lang w:val="en-US"/>
        </w:rPr>
        <w:t xml:space="preserve"> </w:t>
      </w:r>
    </w:p>
    <w:p w14:paraId="63C377F4" w14:textId="541BFC02"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4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4"/>
      <w:r w:rsidR="00370EAB" w:rsidRPr="005F2821">
        <w:rPr>
          <w:color w:val="auto"/>
          <w:szCs w:val="24"/>
          <w:lang w:val="sr-Cyrl-CS"/>
        </w:rPr>
        <w:t>,</w:t>
      </w:r>
    </w:p>
    <w:p w14:paraId="2975C968" w14:textId="3146C180"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пријаве.</w:t>
      </w:r>
      <w:r w:rsidR="00C57B9A" w:rsidRPr="37CE7D14">
        <w:rPr>
          <w:color w:val="auto"/>
          <w:lang w:val="sr-Cyrl-CS"/>
        </w:rPr>
        <w:t>,</w:t>
      </w:r>
    </w:p>
    <w:p w14:paraId="11DE3654" w14:textId="5834A8C4"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14:paraId="5181EAD4" w14:textId="0CFD28D5"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14:paraId="35E7E4D6" w14:textId="0AE15435"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14:paraId="6EDD7EDB" w14:textId="1BD6CB02"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14:paraId="1865551B" w14:textId="23A0E4A6"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14:paraId="17F356F4" w14:textId="75B8E47A"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lastRenderedPageBreak/>
        <w:t>Уверење</w:t>
      </w:r>
      <w:r w:rsidR="3BA855B2" w:rsidRPr="32DCF864">
        <w:rPr>
          <w:color w:val="auto"/>
          <w:szCs w:val="24"/>
          <w:lang w:val="sr-Cyrl-CS"/>
        </w:rPr>
        <w:t xml:space="preserve"> </w:t>
      </w:r>
      <w:r w:rsidR="00145D33">
        <w:rPr>
          <w:color w:val="auto"/>
          <w:szCs w:val="24"/>
          <w:lang w:val="sr-Cyrl-CS"/>
        </w:rPr>
        <w:t>О</w:t>
      </w:r>
      <w:r w:rsidR="46F01C72" w:rsidRPr="32DCF864">
        <w:rPr>
          <w:color w:val="auto"/>
          <w:szCs w:val="24"/>
          <w:lang w:val="sr-Cyrl-CS"/>
        </w:rPr>
        <w:t xml:space="preserve">дељења </w:t>
      </w:r>
      <w:r w:rsidR="00145D33">
        <w:rPr>
          <w:color w:val="auto"/>
          <w:szCs w:val="24"/>
          <w:lang w:val="sr-Cyrl-CS"/>
        </w:rPr>
        <w:t xml:space="preserve">за урбанизам, комунално-стамбене и имовинско правне послове 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14:paraId="481EA2C9" w14:textId="00B7DA4E"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Pr="37CE7D14">
        <w:rPr>
          <w:color w:val="auto"/>
          <w:lang w:val="sr-Cyrl-CS"/>
        </w:rPr>
        <w:t xml:space="preserve"> 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14:paraId="5A57E451" w14:textId="6D078143"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  <w:lang w:val="en-US"/>
        </w:rPr>
        <w:t xml:space="preserve"> 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14:paraId="78DED575" w14:textId="5913604A"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Pr="00370EAB">
        <w:t xml:space="preserve"> 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14:paraId="70697099" w14:textId="09E3EB6D"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="00EB303F" w:rsidRPr="264D8FE5">
        <w:rPr>
          <w:color w:val="auto"/>
          <w:lang w:val="sr-Cyrl-CS"/>
        </w:rPr>
        <w:t xml:space="preserve"> 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14:paraId="17AFE823" w14:textId="7241F8C7" w:rsidR="007320B1" w:rsidRPr="00E57A35" w:rsidRDefault="65C91BA2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lang w:val="sr-Cyrl-CS"/>
        </w:rPr>
        <w:t xml:space="preserve">предмер и предрачун/ 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Pr="32DCF864">
        <w:rPr>
          <w:color w:val="auto"/>
          <w:lang w:val="sr-Cyrl-CS"/>
        </w:rPr>
        <w:t>опрему са уградњом издата од привредног субјекта</w:t>
      </w:r>
      <w:r w:rsidR="61670568" w:rsidRPr="32DCF864">
        <w:rPr>
          <w:color w:val="auto"/>
          <w:lang w:val="sr-Cyrl-CS"/>
        </w:rPr>
        <w:t xml:space="preserve"> </w:t>
      </w:r>
      <w:r w:rsidRPr="32DCF864">
        <w:rPr>
          <w:color w:val="auto"/>
          <w:lang w:val="sr-Cyrl-CS"/>
        </w:rPr>
        <w:t>са листе директних корисника (привред</w:t>
      </w:r>
      <w:r w:rsidR="00145D33">
        <w:rPr>
          <w:color w:val="auto"/>
          <w:lang w:val="sr-Cyrl-CS"/>
        </w:rPr>
        <w:t>них субјеката) коју је објави</w:t>
      </w:r>
      <w:r w:rsidRPr="32DCF864">
        <w:rPr>
          <w:color w:val="auto"/>
          <w:lang w:val="sr-Cyrl-CS"/>
        </w:rPr>
        <w:t>ла Општина</w:t>
      </w:r>
      <w:r w:rsidR="00145D33">
        <w:rPr>
          <w:color w:val="auto"/>
          <w:lang w:val="sr-Cyrl-CS"/>
        </w:rPr>
        <w:t xml:space="preserve"> </w:t>
      </w:r>
      <w:r w:rsidR="00145D33">
        <w:rPr>
          <w:color w:val="auto"/>
          <w:lang w:val="sr-Cyrl-RS"/>
        </w:rPr>
        <w:t>Горњи Милановац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 w:rsidR="13E112FC" w:rsidRPr="32DCF864">
        <w:rPr>
          <w:color w:val="auto"/>
          <w:lang w:val="sr-Cyrl-CS"/>
        </w:rPr>
        <w:t>а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32DCF864">
        <w:rPr>
          <w:color w:val="auto"/>
          <w:lang w:val="en-US"/>
        </w:rPr>
        <w:t>I.</w:t>
      </w:r>
      <w:r w:rsidRPr="32DCF864">
        <w:rPr>
          <w:color w:val="auto"/>
          <w:lang w:val="sr-Cyrl-CS"/>
        </w:rPr>
        <w:t>;</w:t>
      </w:r>
    </w:p>
    <w:p w14:paraId="728137F4" w14:textId="77777777"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14:paraId="29C7BD07" w14:textId="0EAF3497"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14:paraId="37731974" w14:textId="77777777"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14:paraId="6EAB73A8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noProof/>
          <w:color w:val="auto"/>
          <w:szCs w:val="24"/>
          <w:lang w:val="en-US"/>
        </w:rPr>
        <w:t>V</w:t>
      </w:r>
      <w:r w:rsidR="00B52A4C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I</w:t>
      </w:r>
      <w:r w:rsidR="005504FB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.</w:t>
      </w:r>
      <w:bookmarkEnd w:id="5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  <w:lang w:val="sr-Cyrl-RS"/>
        </w:rPr>
        <w:t>ПОЗИВ</w:t>
      </w:r>
    </w:p>
    <w:p w14:paraId="4280E420" w14:textId="77777777"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3FEA3487" w14:textId="7CB2AFEB" w:rsidR="001C06C5" w:rsidRPr="00E57A35" w:rsidRDefault="001C06C5" w:rsidP="00145D33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Pr="00CA5128">
        <w:rPr>
          <w:color w:val="auto"/>
        </w:rPr>
        <w:t xml:space="preserve"> </w:t>
      </w:r>
      <w:r w:rsidR="00EF4D78" w:rsidRPr="1DB9880B">
        <w:rPr>
          <w:color w:val="auto"/>
        </w:rPr>
        <w:t>страници Општине</w:t>
      </w:r>
      <w:r w:rsidR="00145D33">
        <w:rPr>
          <w:color w:val="auto"/>
          <w:lang w:val="sr-Cyrl-RS"/>
        </w:rPr>
        <w:t xml:space="preserve"> Горњи Милановац</w:t>
      </w:r>
      <w:r w:rsidR="00EF4D78" w:rsidRPr="1DB9880B">
        <w:rPr>
          <w:color w:val="auto"/>
        </w:rPr>
        <w:t xml:space="preserve"> </w:t>
      </w:r>
      <w:hyperlink r:id="rId11" w:history="1">
        <w:r w:rsidR="00145D33" w:rsidRPr="00287FB7">
          <w:rPr>
            <w:rStyle w:val="Hyperlink"/>
          </w:rPr>
          <w:t>www.gornjimilanovac.rs</w:t>
        </w:r>
      </w:hyperlink>
      <w:r w:rsidR="00145D33">
        <w:rPr>
          <w:color w:val="auto"/>
          <w:lang w:val="sr-Cyrl-RS"/>
        </w:rPr>
        <w:t xml:space="preserve"> </w:t>
      </w:r>
      <w:r w:rsidR="00145D33" w:rsidRPr="00145D33">
        <w:rPr>
          <w:color w:val="auto"/>
        </w:rPr>
        <w:t xml:space="preserve">или лично на јединственом управном месту у згради Општине Горњи Милановац, Таковска бр. 2 у Горњем </w:t>
      </w:r>
      <w:r w:rsidR="00145D33">
        <w:rPr>
          <w:color w:val="auto"/>
          <w:lang w:val="sr-Cyrl-RS"/>
        </w:rPr>
        <w:t>М</w:t>
      </w:r>
      <w:r w:rsidR="00145D33" w:rsidRPr="00145D33">
        <w:rPr>
          <w:color w:val="auto"/>
        </w:rPr>
        <w:t>илановцу</w:t>
      </w:r>
      <w:r w:rsidR="00FF35C5" w:rsidRPr="00CA5128">
        <w:rPr>
          <w:color w:val="auto"/>
        </w:rPr>
        <w:t>.</w:t>
      </w:r>
      <w:r w:rsidR="00EF4D78" w:rsidRPr="1DB9880B">
        <w:rPr>
          <w:color w:val="auto"/>
        </w:rPr>
        <w:t xml:space="preserve"> </w:t>
      </w:r>
    </w:p>
    <w:p w14:paraId="49B896DD" w14:textId="77777777"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14:paraId="498077EC" w14:textId="77777777"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D71706" w:rsidRPr="00E57A35">
        <w:rPr>
          <w:noProof/>
          <w:color w:val="auto"/>
          <w:szCs w:val="24"/>
        </w:rPr>
        <w:t>.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14:paraId="60857831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B60D95F" w14:textId="01FAF5C7" w:rsidR="00F2767D" w:rsidRPr="00E57A35" w:rsidRDefault="00F2767D" w:rsidP="00D31AE6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Pr="1DB9880B">
        <w:rPr>
          <w:color w:val="auto"/>
        </w:rPr>
        <w:t>Јавни позив ће трајати до утрошка средстава, а најдуже до</w:t>
      </w:r>
      <w:r w:rsidR="008A671B" w:rsidRPr="1DB9880B">
        <w:rPr>
          <w:color w:val="auto"/>
          <w:lang w:val="sr-Cyrl-CS"/>
        </w:rPr>
        <w:t xml:space="preserve"> </w:t>
      </w:r>
      <w:r w:rsidR="7C0AB4E4" w:rsidRPr="0CBC0FDF">
        <w:rPr>
          <w:color w:val="auto"/>
        </w:rPr>
        <w:t>31.12.</w:t>
      </w:r>
      <w:r w:rsidR="748F67CD" w:rsidRPr="1DB9880B">
        <w:rPr>
          <w:color w:val="auto"/>
          <w:lang w:val="sr-Cyrl-CS"/>
        </w:rPr>
        <w:t xml:space="preserve">2024 </w:t>
      </w:r>
      <w:r w:rsidR="008A671B" w:rsidRPr="1DB9880B">
        <w:rPr>
          <w:color w:val="auto"/>
          <w:lang w:val="sr-Cyrl-CS"/>
        </w:rPr>
        <w:t>године.</w:t>
      </w:r>
    </w:p>
    <w:p w14:paraId="4D800F17" w14:textId="27608FB7" w:rsidR="00EF4D78" w:rsidRPr="00E57A3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F2767D" w:rsidRPr="00E57A35">
        <w:rPr>
          <w:color w:val="auto"/>
          <w:szCs w:val="24"/>
        </w:rPr>
        <w:t xml:space="preserve">из поглавља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="00D83150">
        <w:rPr>
          <w:color w:val="auto"/>
          <w:szCs w:val="24"/>
          <w:lang w:val="sr-Cyrl-CS"/>
        </w:rPr>
        <w:t xml:space="preserve">предају се </w:t>
      </w:r>
      <w:r w:rsidR="0062660E" w:rsidRPr="0062660E">
        <w:rPr>
          <w:b/>
          <w:color w:val="auto"/>
        </w:rPr>
        <w:t>лично на јединственом управном месту у згради Општине Горњи Милановац, Таковска бр. 2</w:t>
      </w:r>
      <w:r w:rsidR="0062660E">
        <w:rPr>
          <w:color w:val="auto"/>
          <w:lang w:val="sr-Cyrl-RS"/>
        </w:rPr>
        <w:t>,</w:t>
      </w:r>
      <w:r w:rsidR="0062660E" w:rsidRPr="0062660E">
        <w:rPr>
          <w:color w:val="auto"/>
        </w:rPr>
        <w:t xml:space="preserve"> </w:t>
      </w:r>
      <w:r w:rsidRPr="00E57A35">
        <w:rPr>
          <w:color w:val="auto"/>
          <w:szCs w:val="24"/>
        </w:rPr>
        <w:t>са назнаком:</w:t>
      </w:r>
    </w:p>
    <w:p w14:paraId="735F1662" w14:textId="5954FF21" w:rsidR="00EF4D78" w:rsidRPr="00E57A35" w:rsidRDefault="00EF4D78" w:rsidP="1DB9880B">
      <w:pPr>
        <w:spacing w:after="0" w:line="240" w:lineRule="auto"/>
        <w:ind w:left="0" w:firstLine="0"/>
        <w:jc w:val="center"/>
        <w:rPr>
          <w:color w:val="auto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BA6AFD" w:rsidRPr="1DB9880B">
        <w:rPr>
          <w:color w:val="auto"/>
        </w:rPr>
        <w:t xml:space="preserve"> </w:t>
      </w:r>
      <w:r w:rsidR="00777FFC" w:rsidRPr="1DB9880B">
        <w:rPr>
          <w:color w:val="auto"/>
        </w:rPr>
        <w:t>за суфинансирање мера енергетске санације породичних кућа и станова на територији општин</w:t>
      </w:r>
      <w:r w:rsidR="00145D33">
        <w:rPr>
          <w:color w:val="auto"/>
          <w:lang w:val="sr-Cyrl-RS"/>
        </w:rPr>
        <w:t xml:space="preserve">е </w:t>
      </w:r>
      <w:r w:rsidR="00777FFC" w:rsidRPr="1DB9880B">
        <w:rPr>
          <w:color w:val="auto"/>
        </w:rPr>
        <w:t xml:space="preserve"> </w:t>
      </w:r>
      <w:r w:rsidR="00145D33">
        <w:rPr>
          <w:color w:val="auto"/>
          <w:lang w:val="sr-Cyrl-RS"/>
        </w:rPr>
        <w:t>Горњи Милановац</w:t>
      </w:r>
      <w:r w:rsidR="00777FFC" w:rsidRPr="1DB9880B">
        <w:rPr>
          <w:color w:val="auto"/>
        </w:rPr>
        <w:t xml:space="preserve"> 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="00F2767D" w:rsidRPr="1DB9880B">
        <w:rPr>
          <w:color w:val="auto"/>
        </w:rPr>
        <w:t xml:space="preserve"> </w:t>
      </w:r>
      <w:r w:rsidR="00F42669" w:rsidRPr="1DB9880B">
        <w:rPr>
          <w:color w:val="auto"/>
        </w:rPr>
        <w:t xml:space="preserve"> </w:t>
      </w:r>
      <w:r w:rsidRPr="1DB9880B">
        <w:rPr>
          <w:color w:val="auto"/>
        </w:rPr>
        <w:t xml:space="preserve"> - НЕ ОТВАРАТИ”, са пуном адресом пошиљаоца на полеђини коверте.</w:t>
      </w:r>
    </w:p>
    <w:p w14:paraId="55EF70F2" w14:textId="13B38097" w:rsidR="008C7D78" w:rsidRPr="00CA5128" w:rsidRDefault="07898F6B" w:rsidP="00CA5128">
      <w:pPr>
        <w:ind w:left="58" w:firstLine="650"/>
        <w:rPr>
          <w:b/>
          <w:bCs/>
          <w:u w:val="single"/>
        </w:rPr>
      </w:pPr>
      <w:r w:rsidRPr="264D8FE5">
        <w:rPr>
          <w:b/>
          <w:bCs/>
          <w:u w:val="single"/>
        </w:rPr>
        <w:t xml:space="preserve">Подношење пријава започиње десетог дана </w:t>
      </w:r>
      <w:r w:rsidR="008C7D78" w:rsidRPr="264D8FE5">
        <w:rPr>
          <w:b/>
          <w:bCs/>
          <w:u w:val="single"/>
        </w:rPr>
        <w:t xml:space="preserve">од дана објављивања Јавног позива, с тим да се дан  објављивања не урачуна у овај рок, а уколико  десети дан од дана објављивања Јавног позива пада у недељу или други дан када се по закону не ради, пријаве се подносе првог наредног радног дана,    </w:t>
      </w:r>
    </w:p>
    <w:p w14:paraId="21EA9514" w14:textId="677BB1F3" w:rsidR="00EF4D78" w:rsidRPr="00CA5128" w:rsidRDefault="008C7D78" w:rsidP="00CA5128">
      <w:pPr>
        <w:ind w:left="58" w:firstLine="650"/>
        <w:rPr>
          <w:color w:val="auto"/>
          <w:szCs w:val="24"/>
          <w:u w:val="single"/>
          <w:lang w:val="sr-Cyrl-CS"/>
        </w:rPr>
      </w:pPr>
      <w:r w:rsidRPr="00CA5128">
        <w:t xml:space="preserve">Све пријаве које се поднесу пре </w:t>
      </w:r>
      <w:r w:rsidR="00A12950">
        <w:rPr>
          <w:b/>
        </w:rPr>
        <w:t>0</w:t>
      </w:r>
      <w:r w:rsidR="00BA5798">
        <w:rPr>
          <w:b/>
        </w:rPr>
        <w:t>8</w:t>
      </w:r>
      <w:r w:rsidR="00BA7549" w:rsidRPr="00BA7549">
        <w:rPr>
          <w:b/>
          <w:lang w:val="sr-Cyrl-RS"/>
        </w:rPr>
        <w:t>.1</w:t>
      </w:r>
      <w:r w:rsidR="0023521E">
        <w:rPr>
          <w:b/>
        </w:rPr>
        <w:t>1</w:t>
      </w:r>
      <w:r w:rsidR="00BA7549" w:rsidRPr="00BA7549">
        <w:rPr>
          <w:b/>
          <w:lang w:val="sr-Cyrl-RS"/>
        </w:rPr>
        <w:t>.2024.године</w:t>
      </w:r>
      <w:r w:rsidRPr="00CA5128">
        <w:t xml:space="preserve"> се неће узимати у разматрањ</w:t>
      </w:r>
      <w:r w:rsidRPr="00487E9C">
        <w:t>е</w:t>
      </w:r>
      <w:r w:rsidR="00367C8E" w:rsidRPr="00487E9C">
        <w:rPr>
          <w:color w:val="auto"/>
          <w:szCs w:val="24"/>
          <w:lang w:val="sr-Cyrl-CS"/>
        </w:rPr>
        <w:t>.</w:t>
      </w:r>
    </w:p>
    <w:p w14:paraId="73CFCFD8" w14:textId="06658490" w:rsidR="00145D33" w:rsidRDefault="00EF4D78" w:rsidP="00145D33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Pr="00E57A35">
        <w:rPr>
          <w:color w:val="auto"/>
          <w:szCs w:val="24"/>
        </w:rPr>
        <w:t xml:space="preserve"> можете се обратити на контакт телефон </w:t>
      </w:r>
      <w:r w:rsidR="00145D33" w:rsidRPr="00145D33">
        <w:rPr>
          <w:color w:val="auto"/>
          <w:szCs w:val="24"/>
        </w:rPr>
        <w:t>032/713-537</w:t>
      </w:r>
      <w:r w:rsidR="00145D33">
        <w:rPr>
          <w:color w:val="auto"/>
          <w:szCs w:val="24"/>
          <w:lang w:val="sr-Cyrl-RS"/>
        </w:rPr>
        <w:t xml:space="preserve"> </w:t>
      </w:r>
      <w:r w:rsidR="006E16EA" w:rsidRPr="00E57A35">
        <w:rPr>
          <w:color w:val="auto"/>
          <w:szCs w:val="24"/>
        </w:rPr>
        <w:t xml:space="preserve">и електронску адресу: </w:t>
      </w:r>
    </w:p>
    <w:p w14:paraId="3F65F443" w14:textId="63BAD36B" w:rsidR="00EF4D78" w:rsidRDefault="00145D33" w:rsidP="00145D33">
      <w:pPr>
        <w:spacing w:after="0" w:line="240" w:lineRule="auto"/>
        <w:ind w:left="0" w:firstLine="0"/>
        <w:jc w:val="center"/>
        <w:rPr>
          <w:color w:val="auto"/>
          <w:szCs w:val="24"/>
        </w:rPr>
      </w:pPr>
      <w:hyperlink r:id="rId12" w:history="1">
        <w:r w:rsidRPr="00287FB7">
          <w:rPr>
            <w:rStyle w:val="Hyperlink"/>
            <w:szCs w:val="24"/>
            <w:lang w:val="sr-Cyrl-RS"/>
          </w:rPr>
          <w:t>е</w:t>
        </w:r>
        <w:r w:rsidRPr="00287FB7">
          <w:rPr>
            <w:rStyle w:val="Hyperlink"/>
            <w:szCs w:val="24"/>
          </w:rPr>
          <w:t>nergetskasanacija@gornjimilanovac.ls.gov.rs</w:t>
        </w:r>
      </w:hyperlink>
    </w:p>
    <w:p w14:paraId="7F9B3BC9" w14:textId="77777777" w:rsidR="00145D33" w:rsidRPr="00E57A35" w:rsidRDefault="00145D33" w:rsidP="00145D33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6E3C9799" w14:textId="26318B75" w:rsidR="00EF4D78" w:rsidRPr="00E57A35" w:rsidRDefault="00EF4D78" w:rsidP="00145D33">
      <w:pPr>
        <w:spacing w:after="0" w:line="240" w:lineRule="auto"/>
        <w:ind w:left="0" w:firstLine="708"/>
        <w:jc w:val="left"/>
        <w:rPr>
          <w:color w:val="auto"/>
        </w:rPr>
      </w:pPr>
      <w:r w:rsidRPr="00E57A35">
        <w:rPr>
          <w:color w:val="auto"/>
          <w:szCs w:val="24"/>
        </w:rPr>
        <w:t>Сва питања и одговори биће објављени на интернет страници Општине</w:t>
      </w:r>
      <w:r w:rsidR="00145D33">
        <w:rPr>
          <w:color w:val="auto"/>
          <w:szCs w:val="24"/>
          <w:lang w:val="sr-Cyrl-RS"/>
        </w:rPr>
        <w:t xml:space="preserve"> </w:t>
      </w:r>
      <w:r w:rsidR="00145D33">
        <w:rPr>
          <w:color w:val="auto"/>
          <w:lang w:val="sr-Cyrl-RS"/>
        </w:rPr>
        <w:t xml:space="preserve">Горњи Милановац </w:t>
      </w:r>
      <w:hyperlink r:id="rId13" w:history="1">
        <w:r w:rsidR="00145D33">
          <w:rPr>
            <w:rStyle w:val="Hyperlink"/>
            <w:szCs w:val="24"/>
            <w:lang w:val="sr-Cyrl-RS"/>
          </w:rPr>
          <w:t>www.gornjimilanovac.rs</w:t>
        </w:r>
      </w:hyperlink>
      <w:r w:rsidR="00DC22F2" w:rsidRPr="00E57A35">
        <w:rPr>
          <w:color w:val="auto"/>
          <w:szCs w:val="24"/>
          <w:lang w:val="sr-Cyrl-CS"/>
        </w:rPr>
        <w:t>.</w:t>
      </w:r>
      <w:r w:rsidRPr="00E57A35">
        <w:rPr>
          <w:color w:val="auto"/>
          <w:szCs w:val="24"/>
        </w:rPr>
        <w:t xml:space="preserve"> </w:t>
      </w:r>
    </w:p>
    <w:p w14:paraId="3A579EF6" w14:textId="77777777" w:rsidR="00D31AE6" w:rsidRDefault="00D31AE6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0607AF32" w14:textId="77777777"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68982949" w14:textId="77777777"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09441968" w14:textId="77777777"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59FAA8D7" w14:textId="77777777" w:rsidR="004D5315" w:rsidRP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3CA7B10A" w14:textId="77777777"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Pr="00E57A35">
        <w:rPr>
          <w:color w:val="auto"/>
          <w:szCs w:val="24"/>
        </w:rPr>
        <w:t>. УТВРЂИВАЊЕ ИСПУЊЕНОСТИ УСЛОВА ЗА ДОДЕЛУ СРЕДСТАВА</w:t>
      </w:r>
    </w:p>
    <w:p w14:paraId="083FAC9F" w14:textId="77777777" w:rsidR="00411C5C" w:rsidRPr="00E57A35" w:rsidRDefault="00411C5C" w:rsidP="00411C5C">
      <w:pPr>
        <w:rPr>
          <w:color w:val="auto"/>
          <w:szCs w:val="24"/>
          <w:lang w:val="en-US"/>
        </w:rPr>
      </w:pPr>
      <w:r w:rsidRPr="00E57A35">
        <w:rPr>
          <w:color w:val="auto"/>
          <w:szCs w:val="24"/>
        </w:rPr>
        <w:t xml:space="preserve"> </w:t>
      </w:r>
    </w:p>
    <w:p w14:paraId="0DCDF707" w14:textId="77777777"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1B7DCB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  <w:lang w:val="sr-Cyrl-CS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14:paraId="22E64270" w14:textId="78DACEFA" w:rsidR="00284799" w:rsidRDefault="61D65CEF" w:rsidP="1DB54697">
      <w:pPr>
        <w:spacing w:after="0"/>
        <w:ind w:left="-3" w:firstLine="723"/>
        <w:rPr>
          <w:color w:val="000000" w:themeColor="text1"/>
          <w:szCs w:val="24"/>
          <w:lang w:val="sr-Cyrl-RS"/>
        </w:rPr>
      </w:pPr>
      <w:r w:rsidRPr="1DB54697">
        <w:rPr>
          <w:color w:val="000000" w:themeColor="text1"/>
          <w:szCs w:val="24"/>
          <w:lang w:val="sr-Cyrl-RS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14:paraId="318A81EA" w14:textId="25938312"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току поступка утврђивања испуњености услова Комисија може</w:t>
      </w:r>
      <w:r w:rsidR="007644C5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14:paraId="29A6B498" w14:textId="77777777" w:rsidR="00BA6AFD" w:rsidRPr="00E57A35" w:rsidRDefault="00411C5C" w:rsidP="00CA5128">
      <w:pPr>
        <w:pStyle w:val="Heading1"/>
        <w:spacing w:after="15"/>
        <w:ind w:right="12"/>
        <w:rPr>
          <w:rFonts w:cs="Times New Roman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.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  <w:r w:rsidR="00BA6AFD" w:rsidRPr="00E57A35">
        <w:rPr>
          <w:rFonts w:cs="Times New Roman"/>
        </w:rPr>
        <w:t xml:space="preserve"> </w:t>
      </w:r>
    </w:p>
    <w:p w14:paraId="7B6AE2BD" w14:textId="6CCC7CE3"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FF493B" w:rsidRPr="37CE7D14">
        <w:rPr>
          <w:color w:val="auto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  <w:r w:rsidR="00411C5C" w:rsidRPr="37CE7D14">
        <w:rPr>
          <w:rFonts w:eastAsia="Calibri"/>
          <w:color w:val="auto"/>
          <w:sz w:val="22"/>
          <w:lang w:val="sr-Cyrl-CS"/>
        </w:rPr>
        <w:t xml:space="preserve"> </w:t>
      </w:r>
    </w:p>
    <w:p w14:paraId="4E895D5A" w14:textId="77777777" w:rsidR="001A2204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14:paraId="06CF26BB" w14:textId="77777777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14:paraId="540D9006" w14:textId="45468EDA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да поднесе приговор  </w:t>
      </w:r>
      <w:r w:rsidR="00145D33">
        <w:rPr>
          <w:color w:val="auto"/>
          <w:szCs w:val="24"/>
          <w:lang w:val="sr-Cyrl-CS"/>
        </w:rPr>
        <w:t xml:space="preserve">Општинском већу </w:t>
      </w:r>
      <w:r w:rsidRPr="00E57A35">
        <w:rPr>
          <w:color w:val="auto"/>
          <w:szCs w:val="24"/>
          <w:lang w:val="sr-Cyrl-CS"/>
        </w:rPr>
        <w:t>општине</w:t>
      </w:r>
      <w:r w:rsidR="00145D33">
        <w:rPr>
          <w:color w:val="auto"/>
          <w:lang w:val="sr-Cyrl-RS"/>
        </w:rPr>
        <w:t>Горњи Милановац</w:t>
      </w:r>
      <w:r w:rsidRPr="00E57A35">
        <w:rPr>
          <w:color w:val="auto"/>
          <w:szCs w:val="24"/>
          <w:lang w:val="sr-Cyrl-CS"/>
        </w:rPr>
        <w:t xml:space="preserve"> у року од 8 дана од дана пријема одлуке по приговору из става 2. овог члана и о томе обавести ЈИП.</w:t>
      </w:r>
    </w:p>
    <w:p w14:paraId="275B29F2" w14:textId="0DCA0547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14:paraId="6F64F4BD" w14:textId="208AF10E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Одлука </w:t>
      </w:r>
      <w:r w:rsidR="00EC6716">
        <w:rPr>
          <w:color w:val="auto"/>
          <w:szCs w:val="24"/>
          <w:lang w:val="sr-Cyrl-CS"/>
        </w:rPr>
        <w:t>О</w:t>
      </w:r>
      <w:r w:rsidRPr="00E57A35">
        <w:rPr>
          <w:color w:val="auto"/>
          <w:szCs w:val="24"/>
          <w:lang w:val="sr-Cyrl-CS"/>
        </w:rPr>
        <w:t>пштинског већа је коначна.</w:t>
      </w:r>
    </w:p>
    <w:p w14:paraId="0F0DEFF9" w14:textId="13EEAAE5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EC6716" w:rsidRPr="00EC6716">
        <w:rPr>
          <w:szCs w:val="24"/>
          <w:lang w:val="sr-Cyrl-RS"/>
        </w:rPr>
        <w:t xml:space="preserve"> </w:t>
      </w:r>
      <w:hyperlink r:id="rId14" w:history="1">
        <w:r w:rsidR="00EC6716">
          <w:rPr>
            <w:rStyle w:val="Hyperlink"/>
            <w:szCs w:val="24"/>
            <w:lang w:val="sr-Cyrl-RS"/>
          </w:rPr>
          <w:t>www.gornjimilanovac.rs</w:t>
        </w:r>
      </w:hyperlink>
      <w:r w:rsidR="00085AF9">
        <w:rPr>
          <w:color w:val="auto"/>
          <w:szCs w:val="24"/>
          <w:lang w:val="sr-Cyrl-CS"/>
        </w:rPr>
        <w:t>.</w:t>
      </w:r>
    </w:p>
    <w:p w14:paraId="24BBD9EF" w14:textId="77777777"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14:paraId="1D504D28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411C5C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14:paraId="2CACAE61" w14:textId="77777777"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  <w:lang w:val="sr-Cyrl-RS"/>
        </w:rPr>
      </w:pPr>
    </w:p>
    <w:p w14:paraId="77AA9793" w14:textId="77777777" w:rsidR="001A2204" w:rsidRPr="00E57A35" w:rsidRDefault="001A2204" w:rsidP="001A2204">
      <w:pPr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14:paraId="6685E886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„Правилник о раду на пројекту“;</w:t>
      </w:r>
    </w:p>
    <w:p w14:paraId="3A363BEA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ангажовања заинтересованих страна“;</w:t>
      </w:r>
    </w:p>
    <w:p w14:paraId="4DA554AD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5AAE546D" w14:textId="637A1CC7"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62C58F50">
        <w:rPr>
          <w:color w:val="auto"/>
          <w:lang w:val="sr-Cyrl-RS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  <w:lang w:val="sr-Cyrl-RS"/>
        </w:rPr>
        <w:t>;</w:t>
      </w:r>
    </w:p>
    <w:p w14:paraId="6CE9C2CB" w14:textId="79C42CD3"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62C58F50">
        <w:rPr>
          <w:color w:val="auto"/>
          <w:lang w:val="sr-Cyrl-RS"/>
        </w:rPr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  <w:lang w:val="sr-Cyrl-RS"/>
        </w:rPr>
        <w:t xml:space="preserve"> и</w:t>
      </w:r>
    </w:p>
    <w:p w14:paraId="3F3C1B96" w14:textId="22804695"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00A80F98">
        <w:rPr>
          <w:color w:val="auto"/>
          <w:lang w:val="sr-Cyrl-RS"/>
        </w:rPr>
        <w:t>„Жалбени механизам за Пројекат“.</w:t>
      </w:r>
    </w:p>
    <w:p w14:paraId="5EE2E6D9" w14:textId="188100ED" w:rsidR="001A2204" w:rsidRPr="00E57A35" w:rsidRDefault="001A2204" w:rsidP="1DB9880B">
      <w:pPr>
        <w:spacing w:after="0" w:line="240" w:lineRule="auto"/>
        <w:ind w:firstLine="612"/>
        <w:rPr>
          <w:color w:val="auto"/>
          <w:lang w:val="sr-Cyrl-RS"/>
        </w:rPr>
      </w:pPr>
      <w:r w:rsidRPr="1DB9880B">
        <w:rPr>
          <w:color w:val="auto"/>
          <w:lang w:val="sr-Cyrl-RS"/>
        </w:rPr>
        <w:lastRenderedPageBreak/>
        <w:t>Сва документа су доступна на интернет страници Министарства: (</w:t>
      </w:r>
      <w:r w:rsidR="32C58455" w:rsidRPr="1DB9880B">
        <w:rPr>
          <w:rStyle w:val="Hyperlink"/>
          <w:color w:val="auto"/>
          <w:lang w:val="sr-Cyrl-RS"/>
        </w:rPr>
        <w:t xml:space="preserve"> https://www.mre.gov.rs/tekst/2206/dokumenta.php</w:t>
      </w:r>
      <w:r w:rsidRPr="1DB9880B">
        <w:rPr>
          <w:color w:val="auto"/>
          <w:lang w:val="sr-Cyrl-RS"/>
        </w:rPr>
        <w:t>).</w:t>
      </w:r>
    </w:p>
    <w:p w14:paraId="41BEEB79" w14:textId="114E52CB"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en-US"/>
        </w:rPr>
        <w:t>X</w:t>
      </w:r>
      <w:r w:rsidR="005504FB" w:rsidRPr="00E57A35">
        <w:rPr>
          <w:color w:val="auto"/>
          <w:szCs w:val="24"/>
          <w:lang w:val="en-US"/>
        </w:rPr>
        <w:t>I</w:t>
      </w:r>
      <w:r w:rsidRPr="00E57A35">
        <w:rPr>
          <w:color w:val="auto"/>
          <w:szCs w:val="24"/>
          <w:lang w:val="en-US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C32AA1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42174C"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>којим се одобравају средства</w:t>
      </w:r>
      <w:r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финансирање пројеката енергетске санације </w:t>
      </w:r>
      <w:r w:rsidR="00C32AA1" w:rsidRPr="00E57A35">
        <w:rPr>
          <w:color w:val="auto"/>
          <w:szCs w:val="24"/>
          <w:lang w:val="sr-Cyrl-RS"/>
        </w:rPr>
        <w:t>потписује</w:t>
      </w:r>
      <w:r w:rsidRPr="00E57A35">
        <w:rPr>
          <w:color w:val="auto"/>
          <w:szCs w:val="24"/>
          <w:lang w:val="sr-Cyrl-RS"/>
        </w:rPr>
        <w:t xml:space="preserve"> се тројни уговори између </w:t>
      </w:r>
      <w:r w:rsidR="00EC6716">
        <w:rPr>
          <w:color w:val="auto"/>
          <w:szCs w:val="24"/>
          <w:lang w:val="sr-Cyrl-RS"/>
        </w:rPr>
        <w:t>О</w:t>
      </w:r>
      <w:r w:rsidR="001A2204" w:rsidRPr="00E57A35">
        <w:rPr>
          <w:color w:val="auto"/>
          <w:szCs w:val="24"/>
          <w:lang w:val="sr-Cyrl-RS"/>
        </w:rPr>
        <w:t>пштине</w:t>
      </w:r>
      <w:r w:rsidR="00EC6716">
        <w:rPr>
          <w:color w:val="auto"/>
          <w:szCs w:val="24"/>
          <w:lang w:val="sr-Cyrl-RS"/>
        </w:rPr>
        <w:t xml:space="preserve"> </w:t>
      </w:r>
      <w:r w:rsidR="00EC6716">
        <w:rPr>
          <w:color w:val="auto"/>
          <w:lang w:val="sr-Cyrl-RS"/>
        </w:rPr>
        <w:t>Горњи Милановац</w:t>
      </w:r>
      <w:r w:rsidRPr="00E57A35">
        <w:rPr>
          <w:color w:val="auto"/>
          <w:szCs w:val="24"/>
          <w:lang w:val="sr-Cyrl-RS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  <w:lang w:val="sr-Cyrl-RS"/>
        </w:rPr>
        <w:t>пројекта</w:t>
      </w:r>
      <w:r w:rsidRPr="00E57A35">
        <w:rPr>
          <w:color w:val="auto"/>
          <w:szCs w:val="24"/>
          <w:lang w:val="sr-Cyrl-RS"/>
        </w:rPr>
        <w:t xml:space="preserve"> енергетске санације.</w:t>
      </w:r>
    </w:p>
    <w:p w14:paraId="545C5639" w14:textId="2393C186" w:rsidR="009053E0" w:rsidRPr="00E57A35" w:rsidRDefault="00EC6716" w:rsidP="00C86418">
      <w:pPr>
        <w:spacing w:after="0" w:line="240" w:lineRule="auto"/>
        <w:ind w:firstLine="612"/>
        <w:rPr>
          <w:color w:val="auto"/>
          <w:lang w:val="sr-Cyrl-RS"/>
        </w:rPr>
      </w:pPr>
      <w:r>
        <w:rPr>
          <w:color w:val="auto"/>
          <w:szCs w:val="24"/>
          <w:lang w:val="sr-Cyrl-RS"/>
        </w:rPr>
        <w:t xml:space="preserve">Општина </w:t>
      </w:r>
      <w:r>
        <w:rPr>
          <w:color w:val="auto"/>
          <w:lang w:val="sr-Cyrl-RS"/>
        </w:rPr>
        <w:t>Горњи Милановац</w:t>
      </w:r>
      <w:r w:rsidR="009053E0" w:rsidRPr="00E57A35">
        <w:rPr>
          <w:color w:val="auto"/>
          <w:lang w:val="sr-Cyrl-RS"/>
        </w:rPr>
        <w:t xml:space="preserve"> ће вршити пренос средстава искључиво</w:t>
      </w:r>
      <w:r w:rsidR="00F8749C" w:rsidRPr="00E57A35">
        <w:rPr>
          <w:color w:val="auto"/>
          <w:lang w:val="sr-Cyrl-RS"/>
        </w:rPr>
        <w:t xml:space="preserve"> привредним субјектима</w:t>
      </w:r>
      <w:r w:rsidR="00411C5C" w:rsidRPr="00E57A35">
        <w:rPr>
          <w:color w:val="auto"/>
          <w:szCs w:val="24"/>
          <w:lang w:val="sr-Cyrl-RS"/>
        </w:rPr>
        <w:t>,</w:t>
      </w:r>
      <w:r w:rsidR="009053E0" w:rsidRPr="00E57A35">
        <w:rPr>
          <w:color w:val="auto"/>
          <w:lang w:val="sr-Cyrl-RS"/>
        </w:rPr>
        <w:t xml:space="preserve"> </w:t>
      </w:r>
      <w:r w:rsidR="001A2204" w:rsidRPr="00E57A35">
        <w:rPr>
          <w:color w:val="auto"/>
          <w:lang w:val="sr-Cyrl-RS"/>
        </w:rPr>
        <w:t xml:space="preserve">а </w:t>
      </w:r>
      <w:r w:rsidR="009053E0" w:rsidRPr="00E57A35">
        <w:rPr>
          <w:color w:val="auto"/>
          <w:lang w:val="sr-Cyrl-RS"/>
        </w:rPr>
        <w:t xml:space="preserve">не </w:t>
      </w:r>
      <w:r w:rsidR="001A2204" w:rsidRPr="00E57A35">
        <w:rPr>
          <w:color w:val="auto"/>
          <w:szCs w:val="24"/>
          <w:lang w:val="sr-Cyrl-RS"/>
        </w:rPr>
        <w:t>домаћинствима</w:t>
      </w:r>
      <w:r w:rsidR="009053E0" w:rsidRPr="00E57A35">
        <w:rPr>
          <w:color w:val="auto"/>
          <w:lang w:val="sr-Cyrl-RS"/>
        </w:rPr>
        <w:t xml:space="preserve">, након што </w:t>
      </w:r>
      <w:r w:rsidR="001A2204" w:rsidRPr="00E57A35">
        <w:rPr>
          <w:color w:val="auto"/>
          <w:szCs w:val="24"/>
          <w:lang w:val="sr-Cyrl-RS"/>
        </w:rPr>
        <w:t>домаћинство</w:t>
      </w:r>
      <w:r w:rsidR="009053E0" w:rsidRPr="00E57A35">
        <w:rPr>
          <w:color w:val="auto"/>
          <w:lang w:val="sr-Cyrl-RS"/>
        </w:rPr>
        <w:t xml:space="preserve"> </w:t>
      </w:r>
      <w:r w:rsidR="00411C5C" w:rsidRPr="00E57A35">
        <w:rPr>
          <w:color w:val="auto"/>
          <w:szCs w:val="24"/>
          <w:lang w:val="sr-Cyrl-RS"/>
        </w:rPr>
        <w:t>уплат</w:t>
      </w:r>
      <w:r w:rsidR="001A2204" w:rsidRPr="00E57A35">
        <w:rPr>
          <w:color w:val="auto"/>
          <w:szCs w:val="24"/>
          <w:lang w:val="sr-Cyrl-RS"/>
        </w:rPr>
        <w:t>и</w:t>
      </w:r>
      <w:r w:rsidR="00411C5C" w:rsidRPr="00E57A35">
        <w:rPr>
          <w:color w:val="auto"/>
          <w:szCs w:val="24"/>
          <w:lang w:val="sr-Cyrl-RS"/>
        </w:rPr>
        <w:t xml:space="preserve"> привредном субјекту </w:t>
      </w:r>
      <w:r w:rsidR="006443D4" w:rsidRPr="00E57A35">
        <w:rPr>
          <w:color w:val="auto"/>
          <w:lang w:val="sr-Cyrl-RS"/>
        </w:rPr>
        <w:t xml:space="preserve">целокупну </w:t>
      </w:r>
      <w:r w:rsidR="00411C5C" w:rsidRPr="00E57A35">
        <w:rPr>
          <w:color w:val="auto"/>
          <w:szCs w:val="24"/>
          <w:lang w:val="sr-Cyrl-RS"/>
        </w:rPr>
        <w:t xml:space="preserve"> своју обавезу</w:t>
      </w:r>
      <w:r w:rsidR="006443D4" w:rsidRPr="00E57A35">
        <w:rPr>
          <w:color w:val="auto"/>
          <w:lang w:val="sr-Cyrl-RS"/>
        </w:rPr>
        <w:t xml:space="preserve"> </w:t>
      </w:r>
      <w:r w:rsidR="009053E0" w:rsidRPr="00E57A35">
        <w:rPr>
          <w:color w:val="auto"/>
          <w:lang w:val="sr-Cyrl-RS"/>
        </w:rPr>
        <w:t xml:space="preserve">и након завршетка реализације </w:t>
      </w:r>
      <w:r w:rsidR="00475E64" w:rsidRPr="00E57A35">
        <w:rPr>
          <w:color w:val="auto"/>
          <w:szCs w:val="24"/>
          <w:lang w:val="sr-Cyrl-RS"/>
        </w:rPr>
        <w:t>пројекта енергетске санације</w:t>
      </w:r>
      <w:r w:rsidR="00DE5E4D" w:rsidRPr="00E57A35">
        <w:rPr>
          <w:color w:val="auto"/>
          <w:szCs w:val="24"/>
          <w:lang w:val="sr-Cyrl-RS"/>
        </w:rPr>
        <w:t>, односно након изведених радова на објекту</w:t>
      </w:r>
      <w:r w:rsidR="00475E64" w:rsidRPr="00E57A35">
        <w:rPr>
          <w:color w:val="auto"/>
          <w:szCs w:val="24"/>
          <w:lang w:val="sr-Cyrl-RS"/>
        </w:rPr>
        <w:t>.</w:t>
      </w:r>
    </w:p>
    <w:p w14:paraId="7564BDAB" w14:textId="512B4DBB"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6443D4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Pr="00E57A35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411C5C" w:rsidRPr="00E57A35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14:paraId="34CD37B7" w14:textId="77777777"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14:paraId="0F55F50D" w14:textId="4C5CFA98" w:rsidR="00EC6716" w:rsidRPr="00EC6716" w:rsidRDefault="00EC6716" w:rsidP="00EC6716">
      <w:pPr>
        <w:rPr>
          <w:color w:val="auto"/>
          <w:szCs w:val="24"/>
        </w:rPr>
      </w:pPr>
      <w:r w:rsidRPr="00EC6716">
        <w:rPr>
          <w:color w:val="auto"/>
          <w:szCs w:val="24"/>
        </w:rPr>
        <w:t>Број</w:t>
      </w:r>
      <w:r w:rsidR="00BA7549">
        <w:rPr>
          <w:color w:val="auto"/>
          <w:szCs w:val="24"/>
          <w:lang w:val="sr-Cyrl-RS"/>
        </w:rPr>
        <w:t>: 4-110-35/2024</w:t>
      </w:r>
      <w:r w:rsidRPr="00EC6716">
        <w:rPr>
          <w:color w:val="auto"/>
          <w:szCs w:val="24"/>
        </w:rPr>
        <w:t xml:space="preserve">                                             </w:t>
      </w:r>
    </w:p>
    <w:p w14:paraId="6FA6A0C1" w14:textId="77777777" w:rsidR="00EC6716" w:rsidRPr="00EC6716" w:rsidRDefault="00EC6716" w:rsidP="00EC6716">
      <w:pPr>
        <w:rPr>
          <w:color w:val="auto"/>
          <w:szCs w:val="24"/>
        </w:rPr>
      </w:pPr>
      <w:r w:rsidRPr="00EC6716">
        <w:rPr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6671EC52" w14:textId="77777777" w:rsidR="00EC6716" w:rsidRPr="00EC6716" w:rsidRDefault="00EC6716" w:rsidP="00EC6716">
      <w:pPr>
        <w:rPr>
          <w:color w:val="auto"/>
          <w:szCs w:val="24"/>
        </w:rPr>
      </w:pPr>
      <w:r w:rsidRPr="00EC6716">
        <w:rPr>
          <w:color w:val="auto"/>
          <w:szCs w:val="24"/>
        </w:rPr>
        <w:t>Општина Горњи Милановац</w:t>
      </w:r>
    </w:p>
    <w:p w14:paraId="3B83E852" w14:textId="6A8D347F" w:rsidR="00EC6716" w:rsidRPr="00EC6716" w:rsidRDefault="00A12950" w:rsidP="00EC6716">
      <w:pPr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AE41C1">
        <w:rPr>
          <w:color w:val="auto"/>
          <w:szCs w:val="24"/>
        </w:rPr>
        <w:t>9</w:t>
      </w:r>
      <w:r w:rsidR="00BA7549">
        <w:rPr>
          <w:color w:val="auto"/>
          <w:szCs w:val="24"/>
          <w:lang w:val="sr-Cyrl-RS"/>
        </w:rPr>
        <w:t>.10</w:t>
      </w:r>
      <w:r w:rsidR="00EC6716" w:rsidRPr="00EC6716">
        <w:rPr>
          <w:color w:val="auto"/>
          <w:szCs w:val="24"/>
        </w:rPr>
        <w:t>.202</w:t>
      </w:r>
      <w:r w:rsidR="00EC6716">
        <w:rPr>
          <w:color w:val="auto"/>
          <w:szCs w:val="24"/>
          <w:lang w:val="sr-Cyrl-RS"/>
        </w:rPr>
        <w:t>4</w:t>
      </w:r>
      <w:r w:rsidR="00EC6716" w:rsidRPr="00EC6716">
        <w:rPr>
          <w:color w:val="auto"/>
          <w:szCs w:val="24"/>
        </w:rPr>
        <w:t xml:space="preserve">. године  </w:t>
      </w:r>
      <w:r w:rsidR="00EC6716" w:rsidRPr="00EC6716">
        <w:rPr>
          <w:color w:val="auto"/>
          <w:szCs w:val="24"/>
        </w:rPr>
        <w:tab/>
      </w:r>
      <w:r w:rsidR="00EC6716" w:rsidRPr="00EC6716">
        <w:rPr>
          <w:color w:val="auto"/>
          <w:szCs w:val="24"/>
        </w:rPr>
        <w:tab/>
      </w:r>
      <w:r w:rsidR="00EC6716" w:rsidRPr="00EC6716">
        <w:rPr>
          <w:color w:val="auto"/>
          <w:szCs w:val="24"/>
        </w:rPr>
        <w:tab/>
      </w:r>
      <w:r w:rsidR="00EC6716" w:rsidRPr="00EC6716">
        <w:rPr>
          <w:color w:val="auto"/>
          <w:szCs w:val="24"/>
        </w:rPr>
        <w:tab/>
      </w:r>
      <w:r w:rsidR="00EC6716" w:rsidRPr="00EC6716">
        <w:rPr>
          <w:color w:val="auto"/>
          <w:szCs w:val="24"/>
        </w:rPr>
        <w:tab/>
      </w:r>
    </w:p>
    <w:p w14:paraId="4E746628" w14:textId="77777777" w:rsidR="00EC6716" w:rsidRPr="00EC6716" w:rsidRDefault="00EC6716" w:rsidP="00EC6716">
      <w:pPr>
        <w:rPr>
          <w:color w:val="auto"/>
          <w:szCs w:val="24"/>
        </w:rPr>
      </w:pPr>
    </w:p>
    <w:p w14:paraId="29048415" w14:textId="627FFA99" w:rsidR="00EF4D78" w:rsidRPr="00E57A35" w:rsidRDefault="00EC6716" w:rsidP="00EC6716">
      <w:pPr>
        <w:jc w:val="center"/>
        <w:rPr>
          <w:color w:val="auto"/>
          <w:szCs w:val="24"/>
        </w:rPr>
      </w:pPr>
      <w:r w:rsidRPr="00EC6716">
        <w:rPr>
          <w:color w:val="auto"/>
          <w:szCs w:val="24"/>
        </w:rPr>
        <w:t>КОМИСИЈА   ЗА РЕАЛИЗАЦИЈУ МЕРА ЕНЕРГЕТСКЕ САНАЦИЈЕ</w:t>
      </w:r>
    </w:p>
    <w:sectPr w:rsidR="00EF4D78" w:rsidRPr="00E57A35" w:rsidSect="00D31AE6">
      <w:headerReference w:type="default" r:id="rId15"/>
      <w:footerReference w:type="default" r:id="rId1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0B11" w14:textId="77777777" w:rsidR="007067DE" w:rsidRDefault="007067DE">
      <w:pPr>
        <w:spacing w:after="0" w:line="240" w:lineRule="auto"/>
      </w:pPr>
      <w:r>
        <w:separator/>
      </w:r>
    </w:p>
  </w:endnote>
  <w:endnote w:type="continuationSeparator" w:id="0">
    <w:p w14:paraId="3EB729A2" w14:textId="77777777" w:rsidR="007067DE" w:rsidRDefault="007067DE">
      <w:pPr>
        <w:spacing w:after="0" w:line="240" w:lineRule="auto"/>
      </w:pPr>
      <w:r>
        <w:continuationSeparator/>
      </w:r>
    </w:p>
  </w:endnote>
  <w:endnote w:type="continuationNotice" w:id="1">
    <w:p w14:paraId="065321AD" w14:textId="77777777" w:rsidR="007067DE" w:rsidRDefault="00706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F129A6" w14:textId="77777777" w:rsidTr="00CA5128">
      <w:trPr>
        <w:trHeight w:val="300"/>
      </w:trPr>
      <w:tc>
        <w:tcPr>
          <w:tcW w:w="3015" w:type="dxa"/>
        </w:tcPr>
        <w:p w14:paraId="56FC1EB8" w14:textId="492F2022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737AB5D4" w14:textId="79746BB4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72736AD8" w14:textId="70394ECA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EC95673" w14:textId="298B2AC2" w:rsidR="37CE7D14" w:rsidRDefault="37CE7D14" w:rsidP="00CA5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5236" w14:textId="77777777" w:rsidR="007067DE" w:rsidRDefault="007067DE">
      <w:pPr>
        <w:spacing w:after="0" w:line="240" w:lineRule="auto"/>
      </w:pPr>
      <w:r>
        <w:separator/>
      </w:r>
    </w:p>
  </w:footnote>
  <w:footnote w:type="continuationSeparator" w:id="0">
    <w:p w14:paraId="281BEC02" w14:textId="77777777" w:rsidR="007067DE" w:rsidRDefault="007067DE">
      <w:pPr>
        <w:spacing w:after="0" w:line="240" w:lineRule="auto"/>
      </w:pPr>
      <w:r>
        <w:continuationSeparator/>
      </w:r>
    </w:p>
  </w:footnote>
  <w:footnote w:type="continuationNotice" w:id="1">
    <w:p w14:paraId="0CFB7CCC" w14:textId="77777777" w:rsidR="007067DE" w:rsidRDefault="00706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8E61FE" w14:textId="77777777" w:rsidTr="00CA5128">
      <w:trPr>
        <w:trHeight w:val="300"/>
      </w:trPr>
      <w:tc>
        <w:tcPr>
          <w:tcW w:w="3015" w:type="dxa"/>
        </w:tcPr>
        <w:p w14:paraId="7A3E7A68" w14:textId="5328F04F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06E03E76" w14:textId="5962F761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07AB6413" w14:textId="1710F08F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5AF2115" w14:textId="587F6E8B" w:rsidR="37CE7D14" w:rsidRDefault="37CE7D14" w:rsidP="00CA5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906114338">
    <w:abstractNumId w:val="15"/>
  </w:num>
  <w:num w:numId="2" w16cid:durableId="624192456">
    <w:abstractNumId w:val="21"/>
  </w:num>
  <w:num w:numId="3" w16cid:durableId="431705653">
    <w:abstractNumId w:val="14"/>
  </w:num>
  <w:num w:numId="4" w16cid:durableId="1058361150">
    <w:abstractNumId w:val="18"/>
  </w:num>
  <w:num w:numId="5" w16cid:durableId="1775514789">
    <w:abstractNumId w:val="25"/>
  </w:num>
  <w:num w:numId="6" w16cid:durableId="1050770066">
    <w:abstractNumId w:val="7"/>
  </w:num>
  <w:num w:numId="7" w16cid:durableId="596401847">
    <w:abstractNumId w:val="9"/>
  </w:num>
  <w:num w:numId="8" w16cid:durableId="804858348">
    <w:abstractNumId w:val="13"/>
  </w:num>
  <w:num w:numId="9" w16cid:durableId="807671184">
    <w:abstractNumId w:val="4"/>
  </w:num>
  <w:num w:numId="10" w16cid:durableId="990251941">
    <w:abstractNumId w:val="2"/>
  </w:num>
  <w:num w:numId="11" w16cid:durableId="1851990578">
    <w:abstractNumId w:val="0"/>
  </w:num>
  <w:num w:numId="12" w16cid:durableId="960455297">
    <w:abstractNumId w:val="19"/>
  </w:num>
  <w:num w:numId="13" w16cid:durableId="2120104391">
    <w:abstractNumId w:val="1"/>
  </w:num>
  <w:num w:numId="14" w16cid:durableId="110781754">
    <w:abstractNumId w:val="3"/>
  </w:num>
  <w:num w:numId="15" w16cid:durableId="778530138">
    <w:abstractNumId w:val="20"/>
  </w:num>
  <w:num w:numId="16" w16cid:durableId="2023894112">
    <w:abstractNumId w:val="23"/>
  </w:num>
  <w:num w:numId="17" w16cid:durableId="1543903311">
    <w:abstractNumId w:val="22"/>
  </w:num>
  <w:num w:numId="18" w16cid:durableId="1922369379">
    <w:abstractNumId w:val="12"/>
  </w:num>
  <w:num w:numId="19" w16cid:durableId="1328090505">
    <w:abstractNumId w:val="6"/>
  </w:num>
  <w:num w:numId="20" w16cid:durableId="2075543770">
    <w:abstractNumId w:val="5"/>
  </w:num>
  <w:num w:numId="21" w16cid:durableId="999650159">
    <w:abstractNumId w:val="16"/>
  </w:num>
  <w:num w:numId="22" w16cid:durableId="1477528050">
    <w:abstractNumId w:val="17"/>
  </w:num>
  <w:num w:numId="23" w16cid:durableId="148253700">
    <w:abstractNumId w:val="24"/>
  </w:num>
  <w:num w:numId="24" w16cid:durableId="1676615373">
    <w:abstractNumId w:val="10"/>
  </w:num>
  <w:num w:numId="25" w16cid:durableId="1649751171">
    <w:abstractNumId w:val="8"/>
  </w:num>
  <w:num w:numId="26" w16cid:durableId="238057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1D3A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D3ADA"/>
    <w:rsid w:val="000E09BD"/>
    <w:rsid w:val="000E76D5"/>
    <w:rsid w:val="000F0DCF"/>
    <w:rsid w:val="000F4400"/>
    <w:rsid w:val="000F5269"/>
    <w:rsid w:val="00104F94"/>
    <w:rsid w:val="001123D5"/>
    <w:rsid w:val="001206DC"/>
    <w:rsid w:val="00121C33"/>
    <w:rsid w:val="001230B1"/>
    <w:rsid w:val="001238BC"/>
    <w:rsid w:val="0012697B"/>
    <w:rsid w:val="001353DA"/>
    <w:rsid w:val="0014012E"/>
    <w:rsid w:val="00144C7F"/>
    <w:rsid w:val="00145962"/>
    <w:rsid w:val="00145D33"/>
    <w:rsid w:val="0015061A"/>
    <w:rsid w:val="001511CF"/>
    <w:rsid w:val="00167516"/>
    <w:rsid w:val="001760F2"/>
    <w:rsid w:val="00180A3B"/>
    <w:rsid w:val="0018148D"/>
    <w:rsid w:val="00184FF6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7DCB"/>
    <w:rsid w:val="001C06C5"/>
    <w:rsid w:val="001C0A76"/>
    <w:rsid w:val="001C620F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30746"/>
    <w:rsid w:val="00230DC8"/>
    <w:rsid w:val="002315D6"/>
    <w:rsid w:val="00231E0C"/>
    <w:rsid w:val="00232AD0"/>
    <w:rsid w:val="0023499A"/>
    <w:rsid w:val="00234B99"/>
    <w:rsid w:val="0023521E"/>
    <w:rsid w:val="00236435"/>
    <w:rsid w:val="00237F32"/>
    <w:rsid w:val="00241A15"/>
    <w:rsid w:val="00242ED4"/>
    <w:rsid w:val="0024372C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A23DA"/>
    <w:rsid w:val="002A6B6E"/>
    <w:rsid w:val="002B055D"/>
    <w:rsid w:val="002C5124"/>
    <w:rsid w:val="002D621D"/>
    <w:rsid w:val="002D79F1"/>
    <w:rsid w:val="002E5E21"/>
    <w:rsid w:val="002F0932"/>
    <w:rsid w:val="002F2023"/>
    <w:rsid w:val="002F5B46"/>
    <w:rsid w:val="002F7625"/>
    <w:rsid w:val="00314A64"/>
    <w:rsid w:val="0031597B"/>
    <w:rsid w:val="0031733B"/>
    <w:rsid w:val="003220A1"/>
    <w:rsid w:val="00334E41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667F"/>
    <w:rsid w:val="00386F30"/>
    <w:rsid w:val="00391A5F"/>
    <w:rsid w:val="00392683"/>
    <w:rsid w:val="003A1E09"/>
    <w:rsid w:val="003A1EFD"/>
    <w:rsid w:val="003A58B2"/>
    <w:rsid w:val="003B7C0C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267EB"/>
    <w:rsid w:val="00432547"/>
    <w:rsid w:val="00436C23"/>
    <w:rsid w:val="004417CC"/>
    <w:rsid w:val="004503DD"/>
    <w:rsid w:val="00460493"/>
    <w:rsid w:val="00466B7E"/>
    <w:rsid w:val="004708EF"/>
    <w:rsid w:val="004714B6"/>
    <w:rsid w:val="00475910"/>
    <w:rsid w:val="00475E64"/>
    <w:rsid w:val="00487E9C"/>
    <w:rsid w:val="00490878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315"/>
    <w:rsid w:val="004D7F30"/>
    <w:rsid w:val="004D7FB0"/>
    <w:rsid w:val="004F0079"/>
    <w:rsid w:val="004F2985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652C5"/>
    <w:rsid w:val="00577278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23A38"/>
    <w:rsid w:val="006263CB"/>
    <w:rsid w:val="0062660E"/>
    <w:rsid w:val="006277F3"/>
    <w:rsid w:val="006373FE"/>
    <w:rsid w:val="006443D4"/>
    <w:rsid w:val="00646E90"/>
    <w:rsid w:val="00650E75"/>
    <w:rsid w:val="006543DB"/>
    <w:rsid w:val="00654944"/>
    <w:rsid w:val="00656A8B"/>
    <w:rsid w:val="006613A1"/>
    <w:rsid w:val="0066660E"/>
    <w:rsid w:val="00666BC7"/>
    <w:rsid w:val="00667DBD"/>
    <w:rsid w:val="006754DD"/>
    <w:rsid w:val="00675D9B"/>
    <w:rsid w:val="006832B0"/>
    <w:rsid w:val="00692A8C"/>
    <w:rsid w:val="006A50FD"/>
    <w:rsid w:val="006A69AA"/>
    <w:rsid w:val="006A6B00"/>
    <w:rsid w:val="006B02BB"/>
    <w:rsid w:val="006B6FFD"/>
    <w:rsid w:val="006C63D8"/>
    <w:rsid w:val="006C6F38"/>
    <w:rsid w:val="006C79A1"/>
    <w:rsid w:val="006D097B"/>
    <w:rsid w:val="006E16EA"/>
    <w:rsid w:val="006E3C01"/>
    <w:rsid w:val="006E4CA2"/>
    <w:rsid w:val="006F0507"/>
    <w:rsid w:val="006F0C72"/>
    <w:rsid w:val="006F64C6"/>
    <w:rsid w:val="007002CD"/>
    <w:rsid w:val="00701CB4"/>
    <w:rsid w:val="00701FBE"/>
    <w:rsid w:val="00702D3D"/>
    <w:rsid w:val="007067DE"/>
    <w:rsid w:val="00706E10"/>
    <w:rsid w:val="00713427"/>
    <w:rsid w:val="00713B4F"/>
    <w:rsid w:val="00715C42"/>
    <w:rsid w:val="00727AD4"/>
    <w:rsid w:val="00727C02"/>
    <w:rsid w:val="007320B1"/>
    <w:rsid w:val="007417C9"/>
    <w:rsid w:val="0074333E"/>
    <w:rsid w:val="00743C2E"/>
    <w:rsid w:val="007644C5"/>
    <w:rsid w:val="00766403"/>
    <w:rsid w:val="00774190"/>
    <w:rsid w:val="00775A26"/>
    <w:rsid w:val="00777FFC"/>
    <w:rsid w:val="00790935"/>
    <w:rsid w:val="007917CC"/>
    <w:rsid w:val="00793C15"/>
    <w:rsid w:val="007B29AB"/>
    <w:rsid w:val="007B35E2"/>
    <w:rsid w:val="007B4416"/>
    <w:rsid w:val="007B552F"/>
    <w:rsid w:val="007C2A23"/>
    <w:rsid w:val="007C4CD8"/>
    <w:rsid w:val="007D2F89"/>
    <w:rsid w:val="007D4376"/>
    <w:rsid w:val="007D4845"/>
    <w:rsid w:val="00801CC7"/>
    <w:rsid w:val="008022D8"/>
    <w:rsid w:val="00802D58"/>
    <w:rsid w:val="00805067"/>
    <w:rsid w:val="00807B68"/>
    <w:rsid w:val="008158EB"/>
    <w:rsid w:val="00821042"/>
    <w:rsid w:val="00830C63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C8AD"/>
    <w:rsid w:val="00883690"/>
    <w:rsid w:val="0089104A"/>
    <w:rsid w:val="00891AAC"/>
    <w:rsid w:val="008950A4"/>
    <w:rsid w:val="008965EA"/>
    <w:rsid w:val="008A43F1"/>
    <w:rsid w:val="008A671B"/>
    <w:rsid w:val="008B407A"/>
    <w:rsid w:val="008B4533"/>
    <w:rsid w:val="008B75A1"/>
    <w:rsid w:val="008C18F8"/>
    <w:rsid w:val="008C750F"/>
    <w:rsid w:val="008C7D78"/>
    <w:rsid w:val="008D13DA"/>
    <w:rsid w:val="008D1B2C"/>
    <w:rsid w:val="008D333F"/>
    <w:rsid w:val="008D7D55"/>
    <w:rsid w:val="008E1018"/>
    <w:rsid w:val="008E1A44"/>
    <w:rsid w:val="008E2B2F"/>
    <w:rsid w:val="008E36F8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3CBE"/>
    <w:rsid w:val="00936098"/>
    <w:rsid w:val="009376AF"/>
    <w:rsid w:val="0093779C"/>
    <w:rsid w:val="00941789"/>
    <w:rsid w:val="009468C4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553D"/>
    <w:rsid w:val="009974E5"/>
    <w:rsid w:val="009A677C"/>
    <w:rsid w:val="009A6F3B"/>
    <w:rsid w:val="009A7734"/>
    <w:rsid w:val="009B679A"/>
    <w:rsid w:val="009B7EE6"/>
    <w:rsid w:val="009C4247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44E1"/>
    <w:rsid w:val="009F509E"/>
    <w:rsid w:val="009F5248"/>
    <w:rsid w:val="009F62F9"/>
    <w:rsid w:val="00A013C7"/>
    <w:rsid w:val="00A0277C"/>
    <w:rsid w:val="00A032D0"/>
    <w:rsid w:val="00A05A82"/>
    <w:rsid w:val="00A06ED1"/>
    <w:rsid w:val="00A06F9F"/>
    <w:rsid w:val="00A12950"/>
    <w:rsid w:val="00A13413"/>
    <w:rsid w:val="00A17787"/>
    <w:rsid w:val="00A2104F"/>
    <w:rsid w:val="00A23E25"/>
    <w:rsid w:val="00A24BA3"/>
    <w:rsid w:val="00A32163"/>
    <w:rsid w:val="00A33EB2"/>
    <w:rsid w:val="00A35807"/>
    <w:rsid w:val="00A37D43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DA2"/>
    <w:rsid w:val="00AC0FD6"/>
    <w:rsid w:val="00AC1E3D"/>
    <w:rsid w:val="00AC3623"/>
    <w:rsid w:val="00AC6955"/>
    <w:rsid w:val="00AD1B08"/>
    <w:rsid w:val="00AE41C1"/>
    <w:rsid w:val="00AF4F85"/>
    <w:rsid w:val="00AF66D7"/>
    <w:rsid w:val="00AF7009"/>
    <w:rsid w:val="00B06F4D"/>
    <w:rsid w:val="00B256AF"/>
    <w:rsid w:val="00B363EC"/>
    <w:rsid w:val="00B41A96"/>
    <w:rsid w:val="00B46CD4"/>
    <w:rsid w:val="00B52A4C"/>
    <w:rsid w:val="00B53123"/>
    <w:rsid w:val="00B6198A"/>
    <w:rsid w:val="00B649DA"/>
    <w:rsid w:val="00B67A7A"/>
    <w:rsid w:val="00B72DEC"/>
    <w:rsid w:val="00B74AB3"/>
    <w:rsid w:val="00B764CA"/>
    <w:rsid w:val="00B77180"/>
    <w:rsid w:val="00B80D38"/>
    <w:rsid w:val="00B85825"/>
    <w:rsid w:val="00B85F48"/>
    <w:rsid w:val="00B94BB1"/>
    <w:rsid w:val="00BA149F"/>
    <w:rsid w:val="00BA2C24"/>
    <w:rsid w:val="00BA5798"/>
    <w:rsid w:val="00BA6AFD"/>
    <w:rsid w:val="00BA7549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76E"/>
    <w:rsid w:val="00C12D07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5A99"/>
    <w:rsid w:val="00C967E5"/>
    <w:rsid w:val="00CA0321"/>
    <w:rsid w:val="00CA4A44"/>
    <w:rsid w:val="00CA4FE3"/>
    <w:rsid w:val="00CA5128"/>
    <w:rsid w:val="00CA5B89"/>
    <w:rsid w:val="00CB2810"/>
    <w:rsid w:val="00CB6292"/>
    <w:rsid w:val="00CB7A16"/>
    <w:rsid w:val="00CC40F3"/>
    <w:rsid w:val="00CC4B25"/>
    <w:rsid w:val="00CC5958"/>
    <w:rsid w:val="00CD00BF"/>
    <w:rsid w:val="00CE5E7D"/>
    <w:rsid w:val="00CE6EBB"/>
    <w:rsid w:val="00D03490"/>
    <w:rsid w:val="00D10BFA"/>
    <w:rsid w:val="00D129A3"/>
    <w:rsid w:val="00D14624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807A1"/>
    <w:rsid w:val="00D83150"/>
    <w:rsid w:val="00D93523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60DC"/>
    <w:rsid w:val="00DD2CBE"/>
    <w:rsid w:val="00DD3762"/>
    <w:rsid w:val="00DE5E4D"/>
    <w:rsid w:val="00DE5ECC"/>
    <w:rsid w:val="00DF2113"/>
    <w:rsid w:val="00DF22C0"/>
    <w:rsid w:val="00E01D9A"/>
    <w:rsid w:val="00E02ADD"/>
    <w:rsid w:val="00E046F8"/>
    <w:rsid w:val="00E07C6E"/>
    <w:rsid w:val="00E07EC1"/>
    <w:rsid w:val="00E11663"/>
    <w:rsid w:val="00E235DA"/>
    <w:rsid w:val="00E30578"/>
    <w:rsid w:val="00E3065A"/>
    <w:rsid w:val="00E31C48"/>
    <w:rsid w:val="00E40889"/>
    <w:rsid w:val="00E42B56"/>
    <w:rsid w:val="00E4300A"/>
    <w:rsid w:val="00E50C2D"/>
    <w:rsid w:val="00E57A35"/>
    <w:rsid w:val="00E6568A"/>
    <w:rsid w:val="00E7700E"/>
    <w:rsid w:val="00E77176"/>
    <w:rsid w:val="00E815A8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C6716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269D"/>
    <w:rsid w:val="00F853FA"/>
    <w:rsid w:val="00F8749C"/>
    <w:rsid w:val="00FA2DB1"/>
    <w:rsid w:val="00FA44B1"/>
    <w:rsid w:val="00FB2172"/>
    <w:rsid w:val="00FB2C4C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D6416"/>
  <w15:chartTrackingRefBased/>
  <w15:docId w15:val="{B3D1C093-7703-4859-B08E-81070AB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2">
    <w:name w:val="Mention2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rnjimilanovac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&#1077;nergetskasanacija@gornjimilanovac.ls.gov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rnjimilanovac.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rnjimilan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B18AC-38FA-426D-B2F5-418AA2282C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Naerlović</dc:creator>
  <cp:keywords/>
  <dc:description/>
  <cp:lastModifiedBy>Stefan Banovic</cp:lastModifiedBy>
  <cp:revision>4</cp:revision>
  <dcterms:created xsi:type="dcterms:W3CDTF">2024-10-28T07:05:00Z</dcterms:created>
  <dcterms:modified xsi:type="dcterms:W3CDTF">2024-10-29T08:51:00Z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