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61E" w:rsidRPr="00A6261E" w:rsidRDefault="002F0532" w:rsidP="002F053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A6261E">
        <w:rPr>
          <w:rFonts w:ascii="Times New Roman" w:hAnsi="Times New Roman" w:cs="Times New Roman"/>
          <w:b/>
          <w:sz w:val="23"/>
          <w:szCs w:val="23"/>
        </w:rPr>
        <w:t>ПРЕЛИМИНАРНА ЛИСТА РАСПОДЕЛЕ СРЕДСТАВА</w:t>
      </w:r>
      <w:r w:rsidR="00A6261E" w:rsidRPr="00A6261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2F0532" w:rsidRDefault="00A6261E" w:rsidP="002F0532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суфинанасирање пројеката/програма </w:t>
      </w:r>
      <w:r w:rsidRPr="00A6261E">
        <w:rPr>
          <w:rFonts w:ascii="Times New Roman" w:hAnsi="Times New Roman" w:cs="Times New Roman"/>
          <w:b/>
          <w:sz w:val="23"/>
          <w:szCs w:val="23"/>
        </w:rPr>
        <w:t>осталих удружења</w:t>
      </w:r>
      <w:r>
        <w:rPr>
          <w:rFonts w:ascii="Times New Roman" w:hAnsi="Times New Roman" w:cs="Times New Roman"/>
          <w:sz w:val="23"/>
          <w:szCs w:val="23"/>
        </w:rPr>
        <w:t xml:space="preserve"> чији програми искључиво и непосредно следе јавне потребе</w:t>
      </w:r>
    </w:p>
    <w:tbl>
      <w:tblPr>
        <w:tblStyle w:val="TableGridLight"/>
        <w:tblW w:w="5099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542"/>
        <w:gridCol w:w="1892"/>
        <w:gridCol w:w="2339"/>
        <w:gridCol w:w="1528"/>
        <w:gridCol w:w="811"/>
        <w:gridCol w:w="1619"/>
        <w:gridCol w:w="5494"/>
      </w:tblGrid>
      <w:tr w:rsidR="00F5428B" w:rsidRPr="00F5428B" w:rsidTr="00CC3379">
        <w:trPr>
          <w:trHeight w:val="368"/>
        </w:trPr>
        <w:tc>
          <w:tcPr>
            <w:tcW w:w="191" w:type="pct"/>
            <w:hideMark/>
          </w:tcPr>
          <w:p w:rsidR="00482DC5" w:rsidRPr="00660D81" w:rsidRDefault="00482DC5" w:rsidP="00F542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60D8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665" w:type="pct"/>
            <w:hideMark/>
          </w:tcPr>
          <w:p w:rsidR="00482DC5" w:rsidRPr="00660D81" w:rsidRDefault="00482DC5" w:rsidP="00F542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60D81">
              <w:rPr>
                <w:rFonts w:ascii="Times New Roman" w:hAnsi="Times New Roman" w:cs="Times New Roman"/>
                <w:b/>
                <w:bCs/>
              </w:rPr>
              <w:t>предлагач</w:t>
            </w:r>
          </w:p>
        </w:tc>
        <w:tc>
          <w:tcPr>
            <w:tcW w:w="822" w:type="pct"/>
            <w:hideMark/>
          </w:tcPr>
          <w:p w:rsidR="00482DC5" w:rsidRPr="00660D81" w:rsidRDefault="00482DC5" w:rsidP="00F542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60D81">
              <w:rPr>
                <w:rFonts w:ascii="Times New Roman" w:hAnsi="Times New Roman" w:cs="Times New Roman"/>
                <w:b/>
                <w:bCs/>
              </w:rPr>
              <w:t>назив пројекта</w:t>
            </w:r>
          </w:p>
        </w:tc>
        <w:tc>
          <w:tcPr>
            <w:tcW w:w="537" w:type="pct"/>
            <w:hideMark/>
          </w:tcPr>
          <w:p w:rsidR="00482DC5" w:rsidRPr="00660D81" w:rsidRDefault="00482DC5" w:rsidP="00F542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60D81">
              <w:rPr>
                <w:rFonts w:ascii="Times New Roman" w:hAnsi="Times New Roman" w:cs="Times New Roman"/>
                <w:b/>
                <w:bCs/>
              </w:rPr>
              <w:t>тражен</w:t>
            </w:r>
            <w:r w:rsidR="00F5428B" w:rsidRPr="00F5428B">
              <w:rPr>
                <w:rFonts w:ascii="Times New Roman" w:hAnsi="Times New Roman" w:cs="Times New Roman"/>
                <w:b/>
                <w:bCs/>
              </w:rPr>
              <w:t>о</w:t>
            </w:r>
            <w:r w:rsidRPr="00660D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5" w:type="pct"/>
            <w:hideMark/>
          </w:tcPr>
          <w:p w:rsidR="00482DC5" w:rsidRPr="00660D81" w:rsidRDefault="00F5428B" w:rsidP="00F5428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val="sr-Cyrl-CS" w:eastAsia="sr-Cyrl-CS"/>
              </w:rPr>
            </w:pPr>
            <w:r w:rsidRPr="007B0A2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val="sr-Cyrl-CS" w:eastAsia="sr-Cyrl-CS"/>
              </w:rPr>
              <w:t>бодови</w:t>
            </w:r>
          </w:p>
        </w:tc>
        <w:tc>
          <w:tcPr>
            <w:tcW w:w="569" w:type="pct"/>
            <w:hideMark/>
          </w:tcPr>
          <w:p w:rsidR="00482DC5" w:rsidRPr="00660D81" w:rsidRDefault="00F5428B" w:rsidP="00F5428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sr-Cyrl-CS" w:eastAsia="sr-Cyrl-CS"/>
              </w:rPr>
            </w:pPr>
            <w:r w:rsidRPr="00F5428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sr-Cyrl-CS" w:eastAsia="sr-Cyrl-CS"/>
              </w:rPr>
              <w:t>предложено</w:t>
            </w:r>
          </w:p>
        </w:tc>
        <w:tc>
          <w:tcPr>
            <w:tcW w:w="1931" w:type="pct"/>
            <w:hideMark/>
          </w:tcPr>
          <w:p w:rsidR="00482DC5" w:rsidRPr="00660D81" w:rsidRDefault="00482DC5" w:rsidP="005149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sr-Cyrl-CS" w:eastAsia="sr-Cyrl-CS"/>
              </w:rPr>
              <w:t xml:space="preserve">Образложење прелиминарне </w:t>
            </w:r>
          </w:p>
        </w:tc>
      </w:tr>
      <w:tr w:rsidR="00ED70AC" w:rsidRPr="00F5428B" w:rsidTr="00CC3379">
        <w:trPr>
          <w:trHeight w:val="2268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здравствених радника моравичког округа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Континуирана медицинска едукација, 24. конгрес са међународним учешћем Врњачка Бања октобар 2026.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250,000.00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0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Пројекат не садржи активности усмерене на грађане Горњег Милановца већ тражи финансирање трошкова учешћа 12 чланова удружења на тродневном међународном конгресу у Врњачкој Бањи (смештај, исхрана и превоз). У складу са ставом III тачка 4. Конкурса, Општина не подржава пројекте чије су једине програмске активности путовања, учешћа на конференцијама, студијски програми и сл. услед чега се програм не прихвата.</w:t>
            </w:r>
          </w:p>
        </w:tc>
      </w:tr>
      <w:tr w:rsidR="00ED70AC" w:rsidRPr="00F5428B" w:rsidTr="00CC3379">
        <w:trPr>
          <w:trHeight w:val="2292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одгајивача голубова српских високолетача СРБ-985 "Мавјан шпицасти",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Учешће на такмичењу "српских високолетача"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80,000.00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47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се бави организацијом локалних такмичења голубова "српских високолетача". Буџет предвиђа трошкове набавке пехара и другог материјала за плакете и награде појединцима који постигну успехе на такмичењима током 2026. године. Комисија предлаже подршку у износу од 40.000 динара, имајући да је пројекат упоредо цењен са удружењима сличних капацитета и броја корисника и да би било правично да се подршка расподели равномерно.</w:t>
            </w:r>
          </w:p>
        </w:tc>
      </w:tr>
      <w:tr w:rsidR="00ED70AC" w:rsidRPr="00F5428B" w:rsidTr="00CC3379">
        <w:trPr>
          <w:trHeight w:val="62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Савез пензионера Србије - Удружење пензионера општине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Рука подршке за сваки нови дан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300,000.00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50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200,000.00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Програм предвиђа подршку најугроженијим пензионерима кроз робне пакете хигијене и хране,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трошкове набавке 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канцеларијског материјала. Имајући у виду значајније учешће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буџета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 Републике Србије у финанасирању пакета за најугроженије пензионере и широку подршку кроз друге мере усмерене на пензионере са минималним примањима, оцењено је да Удружење треба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подржати делимично са 200.000 дин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.</w:t>
            </w:r>
          </w:p>
        </w:tc>
      </w:tr>
      <w:tr w:rsidR="00ED70AC" w:rsidRPr="00F5428B" w:rsidTr="00CC3379">
        <w:trPr>
          <w:trHeight w:val="2112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Добровољно ватрогасно друштво "Горња Села" Прањани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Оперативно функционисање ДВД "Горња села" Прањани 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502,500.00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60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500,000.00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ДВД Прањани има програм јасно усмерен на одржавање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и унапређење 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капацитета за обављање послова у области заштите и спасавања од пожара. У највећој мери су то трошкови одржавања возила, техничког прегледа ПП апарата и допуне ватрогасне опреме. Имајући у види значај активности овог удружења, његову активну улогу у заједници и активности у области цивилне одбране, предлаже се подржавање у износу од 500.000 динара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.</w:t>
            </w:r>
          </w:p>
        </w:tc>
      </w:tr>
      <w:tr w:rsidR="00ED70AC" w:rsidRPr="00F5428B" w:rsidTr="00CC3379">
        <w:trPr>
          <w:trHeight w:val="1848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МОТО КЛУБ "Lonely Riders"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Lonely riders 2026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1,000,000.00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58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500,000.00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је оријентисан на организацију Мото скупа у Горњем Милановцу 14-16.08.2026. године са пратећим активностима усмереним на промоцију безбедности у саобраћају и планира трошкове за набавку озвучења и техничку подршку, физичко обезбеђење сусрета, набавку мобилних тоалета. Манифестација је локално препозната и прилично посећена, са садржајем који употпуњује летњу туристичку сезону. Комисија предлаже да се пројекат подржи са 500.000 динара, у складу са могућностима буџета.</w:t>
            </w:r>
          </w:p>
        </w:tc>
      </w:tr>
      <w:tr w:rsidR="00ED70AC" w:rsidRPr="00F5428B" w:rsidTr="00CC3379">
        <w:trPr>
          <w:trHeight w:val="1848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Савез удружења бораца НОР-а-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Активности удружења у 2026. години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43,000.00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42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удружења у потпуности је усмерен на обележавање значајних датума од значаја за НОБ и од трошкова планира набавку венаца за обележавање и књиговодствене услуге. Комисија предлаже подршку у износу од 40.000 динара, имајући да је пројекат упоредо цењен са удружењима сличних капацитета и броја корисника и да би било правично да се подршка расподели равномерно.</w:t>
            </w:r>
          </w:p>
        </w:tc>
      </w:tr>
      <w:tr w:rsidR="00ED70AC" w:rsidRPr="00F5428B" w:rsidTr="00CC3379">
        <w:trPr>
          <w:trHeight w:val="2249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Друштво за неговање традиције осл.ратова Србије до 1918.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Активности удружења у 2026. години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42,000.00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42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удружења у потпуности је усмерен на обележавање значајних датума од значаја за ратове до 1918. године и од трошкова планира набавку венаца за обележавање и књиговодствене услуге. Комисија предлаже подршку у износу од 40.000 динара, имајући да је пројекат упоредо цењен са удружењима сличних капацитета и броја корисника и да би било правично да се подршка расподели равномерно.</w:t>
            </w:r>
          </w:p>
        </w:tc>
      </w:tr>
      <w:tr w:rsidR="00ED70AC" w:rsidRPr="00F5428B" w:rsidTr="00CC3379">
        <w:trPr>
          <w:trHeight w:val="2172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Рома "Мала Госпојина"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Милановачки дани Рома 2026 - култура, традиција, заједништво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300,000.00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55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200,000.00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Пројекат предвиђа организовање свечаности и окупљања у оквиру Дана Рома у Горњем Милановцу и Ромске славе. Трошкови су усмерени на обезбеђење, постављање и демонтажу шатре, ангажман извођача. Комисија предлаже подршку у износу од 200.000 динара, имајући ду виду расположива средства за ове намене, број корисника програма свих удружења, као и чињеницу да је овај пројекат намењен мањинској групи.</w:t>
            </w:r>
          </w:p>
        </w:tc>
      </w:tr>
      <w:tr w:rsidR="00ED70AC" w:rsidRPr="00F5428B" w:rsidTr="00CC3379">
        <w:trPr>
          <w:trHeight w:val="240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Организација резервних војних старешина општине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ОРВС 2026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120,000.00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55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100,000.00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предвиђа активности обуке и оспособљавања у области јавне безбедности, цивилне одбране и заштите у случају ванредних догађаја, обуке јединицама цивилне заштите и ангажовање чланова РВС у својству повереника цивилне заштите по реонима и квартовима МЗ Горњи Милановац. Трошкови су планирани за превоз чланова организације, набавка венаца и букета, израду диплома, захвалница, исхрану на терену. Предлаже се подршка у складу са могућностима буџета.</w:t>
            </w:r>
          </w:p>
        </w:tc>
      </w:tr>
      <w:tr w:rsidR="00ED70AC" w:rsidRPr="00F5428B" w:rsidTr="00CC3379">
        <w:trPr>
          <w:trHeight w:val="2256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ратних војних инвалида и породица погинулих бораца Општине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РВИ 2026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60,000.00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42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предвиђа само организацију годишње славе Удружења РВИ и пакете за децу чланова, обележавање значајних датума за удружење и  чланове. Удружење није представило број чланова и ближи опис реализатора пројекта. Комисија предлаже подршку у износу од 40.000 динара, имајући да је пројекат упоредо цењен са удружењима сличних капацитета и броја корисника и да би било правично да се расположива подршка расподели равномерно</w:t>
            </w:r>
          </w:p>
        </w:tc>
      </w:tr>
      <w:tr w:rsidR="00ED70AC" w:rsidRPr="00F5428B" w:rsidTr="00CC3379">
        <w:trPr>
          <w:trHeight w:val="2112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Ловачко удружење "Војвода Милан Обреновић" Горњи Милановац</w:t>
            </w:r>
          </w:p>
        </w:tc>
        <w:tc>
          <w:tcPr>
            <w:tcW w:w="822" w:type="pct"/>
            <w:hideMark/>
          </w:tcPr>
          <w:p w:rsidR="00ED70AC" w:rsidRPr="00B56E08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1"/>
                <w:szCs w:val="21"/>
                <w:lang w:val="sr-Cyrl-CS" w:eastAsia="sr-Cyrl-CS"/>
              </w:rPr>
            </w:pPr>
            <w:r w:rsidRPr="00B56E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1"/>
                <w:szCs w:val="21"/>
                <w:lang w:val="sr-Cyrl-CS" w:eastAsia="sr-Cyrl-CS"/>
              </w:rPr>
              <w:t>Унапређење газдовања популацијом крупне, ловостајом заштићене дивљачи у ловишту "Таково 1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1"/>
                <w:szCs w:val="21"/>
                <w:lang w:val="sr-Cyrl-CS" w:eastAsia="sr-Cyrl-CS"/>
              </w:rPr>
              <w:t xml:space="preserve"> </w:t>
            </w:r>
            <w:r w:rsidRPr="00B56E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1"/>
                <w:szCs w:val="21"/>
                <w:lang w:val="sr-Cyrl-CS" w:eastAsia="sr-Cyrl-CS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1"/>
                <w:szCs w:val="21"/>
                <w:lang w:val="sr-Cyrl-CS" w:eastAsia="sr-Cyrl-CS"/>
              </w:rPr>
              <w:t xml:space="preserve"> </w:t>
            </w:r>
            <w:r w:rsidRPr="00B56E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1"/>
                <w:szCs w:val="21"/>
                <w:lang w:val="sr-Cyrl-CS" w:eastAsia="sr-Cyrl-CS"/>
              </w:rPr>
              <w:t>2" и развој ловног туризма у општини ГМ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500,000.00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61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300,000.00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удружења је повезан са напорима да се успостави популација фазанске дивљачи у ловним подручјима и усмерен је на набаку фазанске пилади, хране и медикамената за њихово адекватно гајење, као и трошкове за ангажована лица на овим пословима. Пројекат се подржава у складу са могућностима буџета и то искључиво у делу трошкова набавке фазанске пилади и медикамената за њихово држање.</w:t>
            </w:r>
          </w:p>
        </w:tc>
      </w:tr>
      <w:tr w:rsidR="00ED70AC" w:rsidRPr="00F5428B" w:rsidTr="00CC3379">
        <w:trPr>
          <w:trHeight w:val="62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Кинолошко удружење "Горњи Милановац"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"ЦАЦИБ Горњи Милановац 2026"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300,000.00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44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100,000.00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пројекта подразумева организацију међународне изложбе паса, трошкове котизације и израде плакета. Подршка се обезбеђује у складу са могућностима буџета, након што је прорам удружења цењен упоредо са предложеним програмом истоврсног удружења.</w:t>
            </w:r>
          </w:p>
        </w:tc>
      </w:tr>
      <w:tr w:rsidR="00ED70AC" w:rsidRPr="00F5428B" w:rsidTr="00CC3379">
        <w:trPr>
          <w:trHeight w:val="3804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Друштво учитеља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Мали чувари традиције - дечији фестивал културе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300,000.00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38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Комисија не предлаже пројекат за подршку јер у овом тренутку не пружа довољне гаранције да ће произвести планиране ефекте пошто активности смешта у време летњег распуста иако је усмерен на популацију основношколског узраста, која у том периоду евидентно мање користи садржаје локалне заједнице. Чак и клубови и КУД-а који ангажују велики број полазника током целе године, праве летњу паузу због значајног опадања долазности корисника и летњих температура. Имајући у виду потенцијал манифестације, у смислу евентуалне подршке, Комисија сматра да удружење треба да се повеже са локалним установама предшколског и основног образовања и васпитања и установама културе око календара активности и употребе расположивих јавних ресурса који се без накнаде могу користити за реализацију овакве идеје у складу са плановима рада наведених установа (простор, опрема, израда промо материјала) и произвести значајно већи ефекат без потребе за додатним трошковима рентирања. </w:t>
            </w:r>
          </w:p>
        </w:tc>
      </w:tr>
      <w:tr w:rsidR="00ED70AC" w:rsidRPr="00F5428B" w:rsidTr="00CC3379">
        <w:trPr>
          <w:trHeight w:val="143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АТВ ЕКСТРИМ ТИМ Г.Милановац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Организација међународног такмичења АТВ возила "Racing rocks Milanovac 2026"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500,000.00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65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340,000.00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Пројекат предвиђа организацију тродневне међународне трке АТВ возила и низ активности: од припреме и обележавања стаза дуж траса, у сарадњи са власницима парцела из јавног и приватног сектора, организације безбедности током трке, ангажовања судија, смештаја и исхране такмичара, ангажовања Горске службе спашавања за надзор трке и евентуалну помоћ на неприступачном терену... Међународни значај спортског догађаја, очекиван  број учесника који ће утицати на већу попуну капацицтета пружалаца локалних услуга смештаја и исхране и потенцијал 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lastRenderedPageBreak/>
              <w:t xml:space="preserve">озбиљне медијске промоције спортског туризма, аргументи су да се пројекат подржи. Пројекат је успешно реализован и претходне године, без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значајније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 подршке локалне самоуправе. Комисија инсистира на одговорном и савесном понашању организатора, са напоменом да је у циљу безбедности учесника, као нужан,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као оправдан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цењен 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трошак ангажовања горске службе спасавања и обележавања стаза на начин који неће угрожавати безбедност лица и имовине на трасама и уз обавезу организатора да изврши компензацију у случају штете. </w:t>
            </w:r>
          </w:p>
        </w:tc>
      </w:tr>
      <w:tr w:rsidR="00ED70AC" w:rsidRPr="00F5428B" w:rsidTr="00CC3379">
        <w:trPr>
          <w:trHeight w:val="132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Кинолошко удружење "Таковски устанак"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Међународна изложба паса "ЦАЦИБ Таковски устанак 2026"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240,000.00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44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100,000.00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Програм пројекта подразумева организацију међународне изложбе паса, трошкове котизације и израде плакета. Подршка се обезбеђује у складу са могућностима буџета, након што је прорам удружења цењен упоредо са предложеним програмом истоврсног удружења.</w:t>
            </w:r>
          </w:p>
        </w:tc>
      </w:tr>
      <w:tr w:rsidR="00ED70AC" w:rsidRPr="00F5428B" w:rsidTr="00CC3379">
        <w:trPr>
          <w:trHeight w:val="107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"Психозона" Г.Милановац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Повезивање филмом - циклус трибина о менталном здрављу и психолошким изазовима свакодневног живота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420,000.00</w:t>
            </w:r>
          </w:p>
        </w:tc>
        <w:tc>
          <w:tcPr>
            <w:tcW w:w="285" w:type="pct"/>
            <w:hideMark/>
          </w:tcPr>
          <w:p w:rsidR="00ED70AC" w:rsidRPr="00FD632D" w:rsidRDefault="00ED70AC" w:rsidP="00ED70AC">
            <w:r w:rsidRPr="00FD632D">
              <w:t>38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Пројекат удружења "Психозона" предвиђа пројекцију филмског садржаја са пратећим трибинама са циљем да осветли и промовише теме од значаја за ментално здравље грађана. Фокус је на кориснике старије од 14 година, а трошкови су усмерени на ангажман гостију одговарајуће стручности и трошак ауторских права за емитовање филмског садржаја на задату тему, промо активности, путне трошкове учесника, трошкове ангажовања чланова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 УГ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 у организацији и угоститељске трошкове. Комисија оцењује да пројекат у овом тренутку не пружа довољне гаранције да ће произвести планиране ефекте јер само удружење у широј локалној заједници још увек нема довољно видљиве активности. Имајући у виду значај ове теме, у смислу оправданости евентуалне касније подршке, Комисија сматра да удружење треба да се повеже са локалним установама јер постоје расположиви јавни ресурси који се могу користити за реализацију овакве идеје у складу са плановима рада наведених установа 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препорука одабира и 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пројекција филмског садржаја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 намењеног циљној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lastRenderedPageBreak/>
              <w:t>групи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, организација пратећих трибина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 xml:space="preserve">у сарадњи и </w:t>
            </w: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под окриљем установа културе). Реализација у оваквој сарадњи омогућила би да се јасније могу сагледати ефекти програма, потенцијал за развој и одговор циљне групе на понуђени садржај.</w:t>
            </w:r>
          </w:p>
        </w:tc>
      </w:tr>
      <w:tr w:rsidR="00ED70AC" w:rsidRPr="00F5428B" w:rsidTr="00CC3379">
        <w:trPr>
          <w:trHeight w:val="620"/>
        </w:trPr>
        <w:tc>
          <w:tcPr>
            <w:tcW w:w="191" w:type="pct"/>
            <w:hideMark/>
          </w:tcPr>
          <w:p w:rsidR="00ED70AC" w:rsidRPr="00F5428B" w:rsidRDefault="00ED70AC" w:rsidP="00ED70A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665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Удружење "ЕКО ОКО" Горњи Милановац</w:t>
            </w:r>
          </w:p>
        </w:tc>
        <w:tc>
          <w:tcPr>
            <w:tcW w:w="822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Шетњом и планинарењем до здравог живота</w:t>
            </w:r>
          </w:p>
        </w:tc>
        <w:tc>
          <w:tcPr>
            <w:tcW w:w="537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650,000.00</w:t>
            </w:r>
          </w:p>
        </w:tc>
        <w:tc>
          <w:tcPr>
            <w:tcW w:w="285" w:type="pct"/>
            <w:hideMark/>
          </w:tcPr>
          <w:p w:rsidR="00ED70AC" w:rsidRDefault="00ED70AC" w:rsidP="00ED70AC">
            <w:r w:rsidRPr="00FD632D">
              <w:t>32</w:t>
            </w:r>
          </w:p>
        </w:tc>
        <w:tc>
          <w:tcPr>
            <w:tcW w:w="569" w:type="pct"/>
            <w:hideMark/>
          </w:tcPr>
          <w:p w:rsidR="00ED70AC" w:rsidRPr="00514997" w:rsidRDefault="00ED70AC" w:rsidP="00ED70A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0</w:t>
            </w:r>
          </w:p>
        </w:tc>
        <w:tc>
          <w:tcPr>
            <w:tcW w:w="1931" w:type="pct"/>
            <w:hideMark/>
          </w:tcPr>
          <w:p w:rsidR="00ED70AC" w:rsidRPr="00514997" w:rsidRDefault="00ED70AC" w:rsidP="00ED70AC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</w:pPr>
            <w:r w:rsidRPr="0051499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val="sr-Cyrl-CS" w:eastAsia="sr-Cyrl-CS"/>
              </w:rPr>
              <w:t>Пројекат предвиђа израду промо материјала, предавања на тему промоције активног одмора и рекреације у природи, реализовање шетњи на територији Јабланице. Трошкови су планирани за ангажман вође пројекта, предаваче, припрему и израду брошура, водича и календара за пешачења и освежење и исхрану учесника. Комисија сматра да пројекат у овој фази не треба подржати из разлога што је тек предстоји обележавање стаза на начин прописан законом уз уважавање пре свега имовинских односа према приватним и јавним власницима парцела који се налазе дуж рута. Претходно, свако публиковање рута које нису званично обележене може довести до правних проблема и узнемиравања власника. Такође, програм има значај за промоцију туризма и намењен је више за информисање туриста, него грађана општине којима ова дестинација није непозната. Препоручујемо да удружење успостави сарадњу са локалном туристичком организацијом у циљу информисања о локалним плановима у овој области како би пројекти били усаглашени са локалним интересом у овој области и не би дуплирали активности које се јавно већ финасирају кроз рад туристичке организације.</w:t>
            </w:r>
          </w:p>
        </w:tc>
      </w:tr>
      <w:tr w:rsidR="007B0A2B" w:rsidRPr="00F5428B" w:rsidTr="00CC3379">
        <w:trPr>
          <w:trHeight w:val="264"/>
        </w:trPr>
        <w:tc>
          <w:tcPr>
            <w:tcW w:w="1678" w:type="pct"/>
            <w:gridSpan w:val="3"/>
            <w:hideMark/>
          </w:tcPr>
          <w:p w:rsidR="00A6261E" w:rsidRPr="00F5428B" w:rsidRDefault="00A6261E" w:rsidP="00F5428B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F5428B">
              <w:rPr>
                <w:rFonts w:ascii="Times New Roman" w:hAnsi="Times New Roman" w:cs="Times New Roman"/>
                <w:b/>
              </w:rPr>
              <w:t xml:space="preserve">УКУПНО </w:t>
            </w:r>
            <w:r w:rsidR="00F5428B" w:rsidRPr="00F5428B">
              <w:rPr>
                <w:rFonts w:ascii="Times New Roman" w:hAnsi="Times New Roman" w:cs="Times New Roman"/>
                <w:b/>
              </w:rPr>
              <w:t>тражено/предложено</w:t>
            </w:r>
          </w:p>
        </w:tc>
        <w:tc>
          <w:tcPr>
            <w:tcW w:w="537" w:type="pct"/>
            <w:hideMark/>
          </w:tcPr>
          <w:p w:rsidR="00A6261E" w:rsidRPr="00F5428B" w:rsidRDefault="00A6261E" w:rsidP="0087392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F5428B">
              <w:rPr>
                <w:rFonts w:ascii="Times New Roman" w:hAnsi="Times New Roman" w:cs="Times New Roman"/>
                <w:bCs/>
              </w:rPr>
              <w:t>5,607,500.00</w:t>
            </w:r>
          </w:p>
        </w:tc>
        <w:tc>
          <w:tcPr>
            <w:tcW w:w="285" w:type="pct"/>
            <w:hideMark/>
          </w:tcPr>
          <w:p w:rsidR="00A6261E" w:rsidRPr="00F5428B" w:rsidRDefault="00A6261E" w:rsidP="0087392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9" w:type="pct"/>
            <w:hideMark/>
          </w:tcPr>
          <w:p w:rsidR="00A6261E" w:rsidRPr="00F5428B" w:rsidRDefault="00A6261E" w:rsidP="0087392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28B">
              <w:rPr>
                <w:rFonts w:ascii="Times New Roman" w:hAnsi="Times New Roman" w:cs="Times New Roman"/>
                <w:b/>
                <w:bCs/>
              </w:rPr>
              <w:t>2,500,000.00</w:t>
            </w:r>
          </w:p>
        </w:tc>
        <w:tc>
          <w:tcPr>
            <w:tcW w:w="1931" w:type="pct"/>
            <w:hideMark/>
          </w:tcPr>
          <w:p w:rsidR="00A6261E" w:rsidRPr="00F5428B" w:rsidRDefault="00A6261E" w:rsidP="005149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42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B0A2B" w:rsidRPr="00F5428B" w:rsidTr="00CC3379">
        <w:trPr>
          <w:trHeight w:val="264"/>
        </w:trPr>
        <w:tc>
          <w:tcPr>
            <w:tcW w:w="1678" w:type="pct"/>
            <w:gridSpan w:val="3"/>
            <w:hideMark/>
          </w:tcPr>
          <w:p w:rsidR="00A6261E" w:rsidRPr="00F5428B" w:rsidRDefault="00A6261E" w:rsidP="00482DC5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F5428B">
              <w:rPr>
                <w:rFonts w:ascii="Times New Roman" w:hAnsi="Times New Roman" w:cs="Times New Roman"/>
                <w:color w:val="FF0000"/>
              </w:rPr>
              <w:t xml:space="preserve">ТРАЖЕНО </w:t>
            </w:r>
            <w:r w:rsidR="00F5428B" w:rsidRPr="00F5428B">
              <w:rPr>
                <w:rFonts w:ascii="Times New Roman" w:hAnsi="Times New Roman" w:cs="Times New Roman"/>
                <w:color w:val="FF0000"/>
              </w:rPr>
              <w:t>преко расположивих средстава</w:t>
            </w:r>
          </w:p>
        </w:tc>
        <w:tc>
          <w:tcPr>
            <w:tcW w:w="537" w:type="pct"/>
            <w:hideMark/>
          </w:tcPr>
          <w:p w:rsidR="00A6261E" w:rsidRPr="00F5428B" w:rsidRDefault="00A6261E" w:rsidP="00873925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5428B">
              <w:rPr>
                <w:rFonts w:ascii="Times New Roman" w:hAnsi="Times New Roman" w:cs="Times New Roman"/>
                <w:bCs/>
                <w:color w:val="FF0000"/>
              </w:rPr>
              <w:t>(3,107,500.00)</w:t>
            </w:r>
          </w:p>
        </w:tc>
        <w:tc>
          <w:tcPr>
            <w:tcW w:w="285" w:type="pct"/>
            <w:hideMark/>
          </w:tcPr>
          <w:p w:rsidR="00A6261E" w:rsidRPr="00F5428B" w:rsidRDefault="00A6261E" w:rsidP="0087392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9" w:type="pct"/>
            <w:hideMark/>
          </w:tcPr>
          <w:p w:rsidR="00A6261E" w:rsidRPr="00F5428B" w:rsidRDefault="00A6261E" w:rsidP="0087392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5428B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  <w:tc>
          <w:tcPr>
            <w:tcW w:w="1931" w:type="pct"/>
            <w:hideMark/>
          </w:tcPr>
          <w:p w:rsidR="00A6261E" w:rsidRPr="00F5428B" w:rsidRDefault="00A6261E" w:rsidP="005149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5428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</w:tbl>
    <w:p w:rsidR="00F41322" w:rsidRPr="00F41322" w:rsidRDefault="00F41322" w:rsidP="00F41322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41322">
        <w:rPr>
          <w:rFonts w:ascii="Times New Roman" w:hAnsi="Times New Roman" w:cs="Times New Roman"/>
          <w:b/>
          <w:noProof w:val="0"/>
          <w:sz w:val="24"/>
          <w:szCs w:val="24"/>
        </w:rPr>
        <w:t>Сви подносиоци имају :</w:t>
      </w:r>
    </w:p>
    <w:p w:rsidR="00F41322" w:rsidRPr="00F41322" w:rsidRDefault="00F41322" w:rsidP="00F413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41322">
        <w:rPr>
          <w:rFonts w:ascii="Times New Roman" w:hAnsi="Times New Roman" w:cs="Times New Roman"/>
          <w:noProof w:val="0"/>
          <w:sz w:val="24"/>
          <w:szCs w:val="24"/>
        </w:rPr>
        <w:t>право увида у поднете пријаве и приложену документацију - у року од три радна дана од дана објављивања.</w:t>
      </w:r>
    </w:p>
    <w:p w:rsidR="00F41322" w:rsidRPr="00F41322" w:rsidRDefault="00F41322" w:rsidP="00F413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41322">
        <w:rPr>
          <w:rFonts w:ascii="Times New Roman" w:hAnsi="Times New Roman" w:cs="Times New Roman"/>
          <w:noProof w:val="0"/>
          <w:sz w:val="24"/>
          <w:szCs w:val="24"/>
        </w:rPr>
        <w:t>право писаног приговора на листу - у року од осам дана од дана објављивања искључиво</w:t>
      </w:r>
      <w:r w:rsidRPr="00F4132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F41322">
        <w:rPr>
          <w:rFonts w:ascii="Times New Roman" w:hAnsi="Times New Roman" w:cs="Times New Roman"/>
          <w:noProof w:val="0"/>
          <w:sz w:val="24"/>
          <w:szCs w:val="24"/>
        </w:rPr>
        <w:t xml:space="preserve">подношењем приговора на електронску адресу </w:t>
      </w:r>
      <w:hyperlink r:id="rId5" w:history="1">
        <w:r w:rsidRPr="00F41322">
          <w:rPr>
            <w:rFonts w:ascii="Times New Roman" w:hAnsi="Times New Roman" w:cs="Times New Roman"/>
            <w:noProof w:val="0"/>
            <w:color w:val="0563C1" w:themeColor="hyperlink"/>
            <w:sz w:val="24"/>
            <w:szCs w:val="24"/>
            <w:u w:val="single"/>
            <w:lang w:val="en-US"/>
          </w:rPr>
          <w:t>pisarnica@gornjimilanovac.ls.gov.rs</w:t>
        </w:r>
      </w:hyperlink>
      <w:r w:rsidRPr="00F4132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007E47F7" w:rsidRDefault="007E47F7" w:rsidP="007E47F7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A4E0B">
        <w:rPr>
          <w:rFonts w:ascii="Times New Roman" w:hAnsi="Times New Roman" w:cs="Times New Roman"/>
          <w:b/>
          <w:sz w:val="24"/>
          <w:szCs w:val="24"/>
        </w:rPr>
        <w:t xml:space="preserve">КОМИСИЈА ЗА ОЦЕНУ ПРОГРАМА УДРУЖЕЊА </w:t>
      </w:r>
      <w:r w:rsidRPr="003A4E0B">
        <w:rPr>
          <w:rFonts w:ascii="Times New Roman" w:hAnsi="Times New Roman" w:cs="Times New Roman"/>
          <w:b/>
          <w:sz w:val="23"/>
          <w:szCs w:val="23"/>
        </w:rPr>
        <w:t>ВЕЗАНИХ ЗА СОЦИО-ХУМАНИТАРНУ ОБЛАСТ И ОСТАЛЕ ПРОГРАМЕ</w:t>
      </w:r>
    </w:p>
    <w:p w:rsidR="007E47F7" w:rsidRDefault="007E47F7" w:rsidP="007E47F7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Бр.</w:t>
      </w:r>
      <w:r w:rsidRPr="004523EB">
        <w:rPr>
          <w:rFonts w:ascii="Times New Roman" w:hAnsi="Times New Roman" w:cs="Times New Roman"/>
          <w:b/>
          <w:sz w:val="23"/>
          <w:szCs w:val="23"/>
        </w:rPr>
        <w:t>1-401-160/2026-ОУ-</w:t>
      </w:r>
      <w:r>
        <w:rPr>
          <w:rFonts w:ascii="Times New Roman" w:hAnsi="Times New Roman" w:cs="Times New Roman"/>
          <w:b/>
          <w:sz w:val="23"/>
          <w:szCs w:val="23"/>
          <w:lang w:val="sr-Latn-RS"/>
        </w:rPr>
        <w:t>1</w:t>
      </w:r>
      <w:r>
        <w:rPr>
          <w:rFonts w:ascii="Times New Roman" w:hAnsi="Times New Roman" w:cs="Times New Roman"/>
          <w:b/>
          <w:sz w:val="23"/>
          <w:szCs w:val="23"/>
        </w:rPr>
        <w:t xml:space="preserve"> од </w:t>
      </w:r>
      <w:r>
        <w:rPr>
          <w:rFonts w:ascii="Times New Roman" w:hAnsi="Times New Roman" w:cs="Times New Roman"/>
          <w:b/>
          <w:sz w:val="23"/>
          <w:szCs w:val="23"/>
          <w:lang w:val="sr-Latn-RS"/>
        </w:rPr>
        <w:t>01</w:t>
      </w:r>
      <w:r>
        <w:rPr>
          <w:rFonts w:ascii="Times New Roman" w:hAnsi="Times New Roman" w:cs="Times New Roman"/>
          <w:b/>
          <w:sz w:val="23"/>
          <w:szCs w:val="23"/>
        </w:rPr>
        <w:t>.04.2026. године</w:t>
      </w:r>
    </w:p>
    <w:p w:rsidR="007E47F7" w:rsidRPr="004523EB" w:rsidRDefault="007E47F7" w:rsidP="007E47F7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3649"/>
        <w:gridCol w:w="438"/>
        <w:gridCol w:w="2800"/>
        <w:gridCol w:w="3610"/>
      </w:tblGrid>
      <w:tr w:rsidR="007E47F7" w:rsidTr="00617758">
        <w:tc>
          <w:tcPr>
            <w:tcW w:w="1240" w:type="pct"/>
          </w:tcPr>
          <w:p w:rsidR="007E47F7" w:rsidRDefault="007E47F7" w:rsidP="007E47F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Драган Вучићевић</w:t>
            </w:r>
          </w:p>
          <w:p w:rsidR="007E47F7" w:rsidRPr="009777BC" w:rsidRDefault="007E47F7" w:rsidP="007E47F7">
            <w:pPr>
              <w:pStyle w:val="NoSpacing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:rsidR="007E47F7" w:rsidRPr="009777BC" w:rsidRDefault="007E47F7" w:rsidP="007E47F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Др Владимир Миловановић</w:t>
            </w:r>
          </w:p>
        </w:tc>
        <w:tc>
          <w:tcPr>
            <w:tcW w:w="1160" w:type="pct"/>
            <w:gridSpan w:val="2"/>
          </w:tcPr>
          <w:p w:rsidR="007E47F7" w:rsidRPr="009777BC" w:rsidRDefault="007E47F7" w:rsidP="007E47F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Ана Јовићевић</w:t>
            </w:r>
          </w:p>
        </w:tc>
        <w:tc>
          <w:tcPr>
            <w:tcW w:w="1293" w:type="pct"/>
          </w:tcPr>
          <w:p w:rsidR="007E47F7" w:rsidRDefault="007E47F7" w:rsidP="007E47F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 Марковић</w:t>
            </w:r>
          </w:p>
          <w:p w:rsidR="007E47F7" w:rsidRDefault="007E47F7" w:rsidP="0061775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F7" w:rsidTr="00617758">
        <w:tc>
          <w:tcPr>
            <w:tcW w:w="2704" w:type="pct"/>
            <w:gridSpan w:val="3"/>
          </w:tcPr>
          <w:p w:rsidR="007E47F7" w:rsidRPr="009777BC" w:rsidRDefault="007E47F7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Записник водила</w:t>
            </w:r>
          </w:p>
          <w:p w:rsidR="007E47F7" w:rsidRPr="009777BC" w:rsidRDefault="007E47F7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Сандра Раловић</w:t>
            </w:r>
          </w:p>
        </w:tc>
        <w:tc>
          <w:tcPr>
            <w:tcW w:w="2296" w:type="pct"/>
            <w:gridSpan w:val="2"/>
          </w:tcPr>
          <w:p w:rsidR="007E47F7" w:rsidRPr="009777BC" w:rsidRDefault="007E47F7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ПРЕДСЕДНИК КОМИСИЈЕ</w:t>
            </w:r>
          </w:p>
          <w:p w:rsidR="007E47F7" w:rsidRPr="009777BC" w:rsidRDefault="007E47F7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Јадранка Достанић</w:t>
            </w:r>
          </w:p>
        </w:tc>
      </w:tr>
    </w:tbl>
    <w:p w:rsidR="00660D81" w:rsidRPr="002F0532" w:rsidRDefault="00660D81" w:rsidP="00482D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660D81" w:rsidRPr="002F0532" w:rsidSect="00F5428B">
      <w:pgSz w:w="16839" w:h="11907" w:orient="landscape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326E4"/>
    <w:multiLevelType w:val="hybridMultilevel"/>
    <w:tmpl w:val="6F0C86EC"/>
    <w:lvl w:ilvl="0" w:tplc="5AFE3D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A1165A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C3D51"/>
    <w:multiLevelType w:val="hybridMultilevel"/>
    <w:tmpl w:val="9D623182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32"/>
    <w:rsid w:val="00087F80"/>
    <w:rsid w:val="00230A78"/>
    <w:rsid w:val="002A630B"/>
    <w:rsid w:val="002F0532"/>
    <w:rsid w:val="00322EAA"/>
    <w:rsid w:val="00326C59"/>
    <w:rsid w:val="00482DC5"/>
    <w:rsid w:val="00514997"/>
    <w:rsid w:val="00660D81"/>
    <w:rsid w:val="006625D5"/>
    <w:rsid w:val="00710BA9"/>
    <w:rsid w:val="007B0A2B"/>
    <w:rsid w:val="007E47F7"/>
    <w:rsid w:val="009F630B"/>
    <w:rsid w:val="00A6261E"/>
    <w:rsid w:val="00B56E08"/>
    <w:rsid w:val="00B901E4"/>
    <w:rsid w:val="00C3303A"/>
    <w:rsid w:val="00CC3379"/>
    <w:rsid w:val="00D66DFB"/>
    <w:rsid w:val="00E9399E"/>
    <w:rsid w:val="00ED70AC"/>
    <w:rsid w:val="00F41322"/>
    <w:rsid w:val="00F5428B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820B7-96E1-4E0C-A874-ACD47A02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0532"/>
    <w:pPr>
      <w:spacing w:after="0" w:line="240" w:lineRule="auto"/>
    </w:pPr>
    <w:rPr>
      <w:noProof/>
      <w:lang w:val="sr-Cyrl-RS"/>
    </w:rPr>
  </w:style>
  <w:style w:type="table" w:styleId="PlainTable1">
    <w:name w:val="Plain Table 1"/>
    <w:basedOn w:val="TableNormal"/>
    <w:uiPriority w:val="41"/>
    <w:rsid w:val="00A62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5428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gornjimilanovac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Ralović</dc:creator>
  <cp:keywords/>
  <dc:description/>
  <cp:lastModifiedBy>Sandra Ralović</cp:lastModifiedBy>
  <cp:revision>2</cp:revision>
  <dcterms:created xsi:type="dcterms:W3CDTF">2026-04-15T07:46:00Z</dcterms:created>
  <dcterms:modified xsi:type="dcterms:W3CDTF">2026-04-15T07:46:00Z</dcterms:modified>
</cp:coreProperties>
</file>